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507" w:rsidRDefault="00C91E0D">
      <w:pPr>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枣强县人民检察院</w:t>
      </w:r>
      <w:r>
        <w:rPr>
          <w:rFonts w:ascii="Times New Roman" w:eastAsia="方正小标宋_GBK" w:hAnsi="Times New Roman" w:cs="Times New Roman"/>
          <w:sz w:val="44"/>
          <w:szCs w:val="44"/>
        </w:rPr>
        <w:t>201</w:t>
      </w:r>
      <w:r>
        <w:rPr>
          <w:rFonts w:ascii="Times New Roman" w:eastAsia="方正小标宋_GBK" w:hAnsi="Times New Roman" w:cs="Times New Roman" w:hint="eastAsia"/>
          <w:sz w:val="44"/>
          <w:szCs w:val="44"/>
        </w:rPr>
        <w:t>9</w:t>
      </w:r>
      <w:r>
        <w:rPr>
          <w:rFonts w:ascii="Times New Roman" w:eastAsia="方正小标宋_GBK" w:hAnsi="Times New Roman" w:cs="Times New Roman"/>
          <w:sz w:val="44"/>
          <w:szCs w:val="44"/>
        </w:rPr>
        <w:t>年部门预算信息公开</w:t>
      </w:r>
      <w:r>
        <w:rPr>
          <w:rFonts w:ascii="Times New Roman" w:eastAsia="方正小标宋_GBK" w:hAnsi="Times New Roman" w:cs="Times New Roman" w:hint="eastAsia"/>
          <w:sz w:val="44"/>
          <w:szCs w:val="44"/>
        </w:rPr>
        <w:t>情况说明</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按照</w:t>
      </w:r>
      <w:r>
        <w:rPr>
          <w:rFonts w:ascii="仿宋" w:eastAsia="仿宋" w:hAnsi="仿宋" w:cs="Times New Roman" w:hint="eastAsia"/>
          <w:sz w:val="32"/>
          <w:szCs w:val="32"/>
        </w:rPr>
        <w:t>《预算法》、</w:t>
      </w:r>
      <w:r>
        <w:rPr>
          <w:rFonts w:ascii="仿宋" w:eastAsia="仿宋" w:hAnsi="仿宋" w:cs="Times New Roman"/>
          <w:sz w:val="32"/>
          <w:szCs w:val="32"/>
        </w:rPr>
        <w:t>《地方预决算公开操作规程》</w:t>
      </w:r>
      <w:r>
        <w:rPr>
          <w:rFonts w:ascii="仿宋" w:eastAsia="仿宋" w:hAnsi="仿宋" w:cs="Times New Roman" w:hint="eastAsia"/>
          <w:sz w:val="32"/>
          <w:szCs w:val="32"/>
        </w:rPr>
        <w:t>规定</w:t>
      </w:r>
      <w:r>
        <w:rPr>
          <w:rFonts w:ascii="仿宋" w:eastAsia="仿宋" w:hAnsi="仿宋" w:cs="Times New Roman"/>
          <w:sz w:val="32"/>
          <w:szCs w:val="32"/>
        </w:rPr>
        <w:t>，现将</w:t>
      </w:r>
      <w:r>
        <w:rPr>
          <w:rFonts w:ascii="仿宋" w:eastAsia="仿宋" w:hAnsi="仿宋" w:cs="Times New Roman" w:hint="eastAsia"/>
          <w:sz w:val="32"/>
          <w:szCs w:val="32"/>
        </w:rPr>
        <w:t>政协</w:t>
      </w:r>
      <w:r>
        <w:rPr>
          <w:rFonts w:ascii="仿宋" w:eastAsia="仿宋" w:hAnsi="仿宋" w:cs="Times New Roman" w:hint="eastAsia"/>
          <w:sz w:val="32"/>
          <w:szCs w:val="32"/>
        </w:rPr>
        <w:t>枣强县人民检察院</w:t>
      </w:r>
      <w:r>
        <w:rPr>
          <w:rFonts w:ascii="仿宋" w:eastAsia="仿宋" w:hAnsi="仿宋" w:cs="Times New Roman"/>
          <w:sz w:val="32"/>
          <w:szCs w:val="32"/>
        </w:rPr>
        <w:t>201</w:t>
      </w:r>
      <w:r>
        <w:rPr>
          <w:rFonts w:ascii="仿宋" w:eastAsia="仿宋" w:hAnsi="仿宋" w:cs="Times New Roman" w:hint="eastAsia"/>
          <w:sz w:val="32"/>
          <w:szCs w:val="32"/>
        </w:rPr>
        <w:t>9</w:t>
      </w:r>
      <w:r>
        <w:rPr>
          <w:rFonts w:ascii="仿宋" w:eastAsia="仿宋" w:hAnsi="仿宋" w:cs="Times New Roman"/>
          <w:sz w:val="32"/>
          <w:szCs w:val="32"/>
        </w:rPr>
        <w:t>年部门预算公开如下：</w:t>
      </w:r>
    </w:p>
    <w:p w:rsidR="00AB7507" w:rsidRDefault="00C91E0D">
      <w:pPr>
        <w:ind w:firstLine="640"/>
        <w:rPr>
          <w:rFonts w:ascii="黑体" w:eastAsia="黑体" w:hAnsi="黑体" w:cs="Times New Roman"/>
          <w:sz w:val="32"/>
          <w:szCs w:val="32"/>
        </w:rPr>
      </w:pPr>
      <w:r>
        <w:rPr>
          <w:rFonts w:ascii="黑体" w:eastAsia="黑体" w:hAnsi="黑体" w:cs="Times New Roman" w:hint="eastAsia"/>
          <w:sz w:val="32"/>
          <w:szCs w:val="32"/>
        </w:rPr>
        <w:t>一、部门职责及机构设置情况</w:t>
      </w:r>
    </w:p>
    <w:p w:rsidR="00AB7507" w:rsidRDefault="00C91E0D">
      <w:pPr>
        <w:ind w:firstLineChars="200" w:firstLine="643"/>
        <w:rPr>
          <w:rFonts w:ascii="仿宋" w:eastAsia="仿宋" w:hAnsi="仿宋" w:cs="Times New Roman"/>
          <w:sz w:val="32"/>
          <w:szCs w:val="32"/>
        </w:rPr>
      </w:pPr>
      <w:r>
        <w:rPr>
          <w:rFonts w:ascii="仿宋" w:eastAsia="仿宋" w:hAnsi="仿宋" w:cs="Times New Roman" w:hint="eastAsia"/>
          <w:b/>
          <w:sz w:val="32"/>
          <w:szCs w:val="32"/>
        </w:rPr>
        <w:t>部门</w:t>
      </w:r>
      <w:r>
        <w:rPr>
          <w:rFonts w:ascii="仿宋" w:eastAsia="仿宋" w:hAnsi="仿宋" w:cs="Times New Roman"/>
          <w:b/>
          <w:sz w:val="32"/>
          <w:szCs w:val="32"/>
        </w:rPr>
        <w:t>职责：</w:t>
      </w:r>
      <w:r>
        <w:rPr>
          <w:rFonts w:ascii="仿宋" w:eastAsia="仿宋" w:hAnsi="仿宋" w:cs="Times New Roman"/>
          <w:sz w:val="32"/>
          <w:szCs w:val="32"/>
        </w:rPr>
        <w:t>1</w:t>
      </w:r>
      <w:r>
        <w:rPr>
          <w:rFonts w:ascii="仿宋" w:eastAsia="仿宋" w:hAnsi="仿宋" w:cs="Times New Roman"/>
          <w:sz w:val="32"/>
          <w:szCs w:val="32"/>
        </w:rPr>
        <w:t>、坚持宽严相济，严厉打击刑事犯罪，在促进和谐稳定上有新作为</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始终把促进社会和谐稳定作为检察机关的首要任务，坚持</w:t>
      </w:r>
      <w:r>
        <w:rPr>
          <w:rFonts w:ascii="仿宋" w:eastAsia="仿宋" w:hAnsi="仿宋" w:cs="Times New Roman"/>
          <w:sz w:val="32"/>
          <w:szCs w:val="32"/>
        </w:rPr>
        <w:t>“</w:t>
      </w:r>
      <w:r>
        <w:rPr>
          <w:rFonts w:ascii="仿宋" w:eastAsia="仿宋" w:hAnsi="仿宋" w:cs="Times New Roman"/>
          <w:sz w:val="32"/>
          <w:szCs w:val="32"/>
        </w:rPr>
        <w:t>严打</w:t>
      </w:r>
      <w:r>
        <w:rPr>
          <w:rFonts w:ascii="仿宋" w:eastAsia="仿宋" w:hAnsi="仿宋" w:cs="Times New Roman"/>
          <w:sz w:val="32"/>
          <w:szCs w:val="32"/>
        </w:rPr>
        <w:t>”</w:t>
      </w:r>
      <w:r>
        <w:rPr>
          <w:rFonts w:ascii="仿宋" w:eastAsia="仿宋" w:hAnsi="仿宋" w:cs="Times New Roman"/>
          <w:sz w:val="32"/>
          <w:szCs w:val="32"/>
        </w:rPr>
        <w:t>方针，贯彻</w:t>
      </w:r>
      <w:r>
        <w:rPr>
          <w:rFonts w:ascii="仿宋" w:eastAsia="仿宋" w:hAnsi="仿宋" w:cs="Times New Roman"/>
          <w:sz w:val="32"/>
          <w:szCs w:val="32"/>
        </w:rPr>
        <w:t>“</w:t>
      </w:r>
      <w:r>
        <w:rPr>
          <w:rFonts w:ascii="仿宋" w:eastAsia="仿宋" w:hAnsi="仿宋" w:cs="Times New Roman"/>
          <w:sz w:val="32"/>
          <w:szCs w:val="32"/>
        </w:rPr>
        <w:t>宽严相济</w:t>
      </w:r>
      <w:r>
        <w:rPr>
          <w:rFonts w:ascii="仿宋" w:eastAsia="仿宋" w:hAnsi="仿宋" w:cs="Times New Roman"/>
          <w:sz w:val="32"/>
          <w:szCs w:val="32"/>
        </w:rPr>
        <w:t>”</w:t>
      </w:r>
      <w:r>
        <w:rPr>
          <w:rFonts w:ascii="仿宋" w:eastAsia="仿宋" w:hAnsi="仿宋" w:cs="Times New Roman"/>
          <w:sz w:val="32"/>
          <w:szCs w:val="32"/>
        </w:rPr>
        <w:t>刑事政策，在推进</w:t>
      </w:r>
      <w:r>
        <w:rPr>
          <w:rFonts w:ascii="仿宋" w:eastAsia="仿宋" w:hAnsi="仿宋" w:cs="Times New Roman"/>
          <w:sz w:val="32"/>
          <w:szCs w:val="32"/>
        </w:rPr>
        <w:t>“</w:t>
      </w:r>
      <w:r>
        <w:rPr>
          <w:rFonts w:ascii="仿宋" w:eastAsia="仿宋" w:hAnsi="仿宋" w:cs="Times New Roman"/>
          <w:sz w:val="32"/>
          <w:szCs w:val="32"/>
        </w:rPr>
        <w:t>平安枣强</w:t>
      </w:r>
      <w:r>
        <w:rPr>
          <w:rFonts w:ascii="仿宋" w:eastAsia="仿宋" w:hAnsi="仿宋" w:cs="Times New Roman"/>
          <w:sz w:val="32"/>
          <w:szCs w:val="32"/>
        </w:rPr>
        <w:t>”</w:t>
      </w:r>
      <w:r>
        <w:rPr>
          <w:rFonts w:ascii="仿宋" w:eastAsia="仿宋" w:hAnsi="仿宋" w:cs="Times New Roman"/>
          <w:sz w:val="32"/>
          <w:szCs w:val="32"/>
        </w:rPr>
        <w:t>建设中强担当，抓落实。</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突出重点，依法打击刑事犯罪。充分履行批捕、起诉职责，积极参与打黑除恶、惩治</w:t>
      </w:r>
      <w:r>
        <w:rPr>
          <w:rFonts w:ascii="仿宋" w:eastAsia="仿宋" w:hAnsi="仿宋" w:cs="Times New Roman"/>
          <w:sz w:val="32"/>
          <w:szCs w:val="32"/>
        </w:rPr>
        <w:t>“</w:t>
      </w:r>
      <w:r>
        <w:rPr>
          <w:rFonts w:ascii="仿宋" w:eastAsia="仿宋" w:hAnsi="仿宋" w:cs="Times New Roman"/>
          <w:sz w:val="32"/>
          <w:szCs w:val="32"/>
        </w:rPr>
        <w:t>两抢一盗</w:t>
      </w:r>
      <w:r>
        <w:rPr>
          <w:rFonts w:ascii="仿宋" w:eastAsia="仿宋" w:hAnsi="仿宋" w:cs="Times New Roman"/>
          <w:sz w:val="32"/>
          <w:szCs w:val="32"/>
        </w:rPr>
        <w:t>”</w:t>
      </w:r>
      <w:r>
        <w:rPr>
          <w:rFonts w:ascii="仿宋" w:eastAsia="仿宋" w:hAnsi="仿宋" w:cs="Times New Roman"/>
          <w:sz w:val="32"/>
          <w:szCs w:val="32"/>
        </w:rPr>
        <w:t>、扫黄打非等专项斗争，突出打击严重影响社会稳定和人民群众安全的黑恶势力犯罪、严重暴力犯罪和多发性侵财犯罪。有力的震慑犯罪，增强了人民群众的安全感。</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促进和谐，依法化解社会矛盾。认真落实</w:t>
      </w:r>
      <w:r>
        <w:rPr>
          <w:rFonts w:ascii="仿宋" w:eastAsia="仿宋" w:hAnsi="仿宋" w:cs="Times New Roman"/>
          <w:sz w:val="32"/>
          <w:szCs w:val="32"/>
        </w:rPr>
        <w:t>“</w:t>
      </w:r>
      <w:r>
        <w:rPr>
          <w:rFonts w:ascii="仿宋" w:eastAsia="仿宋" w:hAnsi="仿宋" w:cs="Times New Roman"/>
          <w:sz w:val="32"/>
          <w:szCs w:val="32"/>
        </w:rPr>
        <w:t>宽严相济</w:t>
      </w:r>
      <w:r>
        <w:rPr>
          <w:rFonts w:ascii="仿宋" w:eastAsia="仿宋" w:hAnsi="仿宋" w:cs="Times New Roman"/>
          <w:sz w:val="32"/>
          <w:szCs w:val="32"/>
        </w:rPr>
        <w:t>”</w:t>
      </w:r>
      <w:r>
        <w:rPr>
          <w:rFonts w:ascii="仿宋" w:eastAsia="仿宋" w:hAnsi="仿宋" w:cs="Times New Roman"/>
          <w:sz w:val="32"/>
          <w:szCs w:val="32"/>
        </w:rPr>
        <w:t>刑事政策，减少社会对抗、修复社会关系。畅通群众控告申诉渠道，大力开展检察长接待、下访巡访、预约接访、视频接访等工作，解决群众合法诉求，维护群众合法权益，。按照省政法委《关于依法处理信访活动中有关违法犯罪行为的指导意见》，加强与有关部门的协调沟通，严厉打击非访行为。</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2</w:t>
      </w:r>
      <w:r>
        <w:rPr>
          <w:rFonts w:ascii="仿宋" w:eastAsia="仿宋" w:hAnsi="仿宋" w:cs="Times New Roman"/>
          <w:sz w:val="32"/>
          <w:szCs w:val="32"/>
        </w:rPr>
        <w:t>、坚持统筹兼顾，强化诉讼活动监督，在促进公平正义上有新提高</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lastRenderedPageBreak/>
        <w:t>始终把促进公平正义作为检察机关的永恒主题，捍卫法治，做到敢于监督、善于监督、依法监督、规范监督，在推进</w:t>
      </w:r>
      <w:r>
        <w:rPr>
          <w:rFonts w:ascii="仿宋" w:eastAsia="仿宋" w:hAnsi="仿宋" w:cs="Times New Roman"/>
          <w:sz w:val="32"/>
          <w:szCs w:val="32"/>
        </w:rPr>
        <w:t>“</w:t>
      </w:r>
      <w:r>
        <w:rPr>
          <w:rFonts w:ascii="仿宋" w:eastAsia="仿宋" w:hAnsi="仿宋" w:cs="Times New Roman"/>
          <w:sz w:val="32"/>
          <w:szCs w:val="32"/>
        </w:rPr>
        <w:t>法治枣强</w:t>
      </w:r>
      <w:r>
        <w:rPr>
          <w:rFonts w:ascii="仿宋" w:eastAsia="仿宋" w:hAnsi="仿宋" w:cs="Times New Roman"/>
          <w:sz w:val="32"/>
          <w:szCs w:val="32"/>
        </w:rPr>
        <w:t>”</w:t>
      </w:r>
      <w:r>
        <w:rPr>
          <w:rFonts w:ascii="仿宋" w:eastAsia="仿宋" w:hAnsi="仿宋" w:cs="Times New Roman"/>
          <w:sz w:val="32"/>
          <w:szCs w:val="32"/>
        </w:rPr>
        <w:t>建设中聚能量，显作为。</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强化刑事诉讼监督。加强对侦查机关有案不立、有罪不究、不该立案而立案以及侦查行为不规范等问题的监督。</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强化民事行政诉讼监督。认真落实修改后民事诉讼法的新规定，积极</w:t>
      </w:r>
      <w:bookmarkStart w:id="0" w:name="baidusnap1"/>
      <w:bookmarkEnd w:id="0"/>
      <w:r>
        <w:rPr>
          <w:rFonts w:ascii="仿宋" w:eastAsia="仿宋" w:hAnsi="仿宋" w:cs="Times New Roman"/>
          <w:sz w:val="32"/>
          <w:szCs w:val="32"/>
        </w:rPr>
        <w:t>构建诉讼</w:t>
      </w:r>
      <w:bookmarkStart w:id="1" w:name="baidusnap7"/>
      <w:bookmarkEnd w:id="1"/>
      <w:r>
        <w:rPr>
          <w:rFonts w:ascii="仿宋" w:eastAsia="仿宋" w:hAnsi="仿宋" w:cs="Times New Roman"/>
          <w:sz w:val="32"/>
          <w:szCs w:val="32"/>
        </w:rPr>
        <w:t>程序、</w:t>
      </w:r>
      <w:bookmarkStart w:id="2" w:name="baidusnap2"/>
      <w:bookmarkEnd w:id="2"/>
      <w:r>
        <w:rPr>
          <w:rFonts w:ascii="仿宋" w:eastAsia="仿宋" w:hAnsi="仿宋" w:cs="Times New Roman"/>
          <w:sz w:val="32"/>
          <w:szCs w:val="32"/>
        </w:rPr>
        <w:t>诉讼结果和执行程序</w:t>
      </w:r>
      <w:bookmarkStart w:id="3" w:name="baidusnap8"/>
      <w:bookmarkEnd w:id="3"/>
      <w:r>
        <w:rPr>
          <w:rFonts w:ascii="仿宋" w:eastAsia="仿宋" w:hAnsi="仿宋" w:cs="Times New Roman"/>
          <w:sz w:val="32"/>
          <w:szCs w:val="32"/>
        </w:rPr>
        <w:t>“</w:t>
      </w:r>
      <w:r>
        <w:rPr>
          <w:rFonts w:ascii="仿宋" w:eastAsia="仿宋" w:hAnsi="仿宋" w:cs="Times New Roman"/>
          <w:sz w:val="32"/>
          <w:szCs w:val="32"/>
        </w:rPr>
        <w:t>三位一体</w:t>
      </w:r>
      <w:r>
        <w:rPr>
          <w:rFonts w:ascii="仿宋" w:eastAsia="仿宋" w:hAnsi="仿宋" w:cs="Times New Roman"/>
          <w:sz w:val="32"/>
          <w:szCs w:val="32"/>
        </w:rPr>
        <w:t>”</w:t>
      </w:r>
      <w:r>
        <w:rPr>
          <w:rFonts w:ascii="仿宋" w:eastAsia="仿宋" w:hAnsi="仿宋" w:cs="Times New Roman"/>
          <w:sz w:val="32"/>
          <w:szCs w:val="32"/>
        </w:rPr>
        <w:t>的多元化监督格局。</w:t>
      </w:r>
    </w:p>
    <w:p w:rsidR="00AB7507" w:rsidRDefault="00C91E0D">
      <w:pPr>
        <w:ind w:firstLineChars="200" w:firstLine="640"/>
        <w:rPr>
          <w:rFonts w:ascii="仿宋" w:eastAsia="仿宋" w:hAnsi="仿宋" w:cs="Times New Roman"/>
          <w:sz w:val="32"/>
          <w:szCs w:val="32"/>
        </w:rPr>
      </w:pPr>
      <w:r>
        <w:rPr>
          <w:rFonts w:ascii="仿宋" w:eastAsia="仿宋" w:hAnsi="仿宋" w:cs="Times New Roman"/>
          <w:sz w:val="32"/>
          <w:szCs w:val="32"/>
        </w:rPr>
        <w:t>3</w:t>
      </w:r>
      <w:r>
        <w:rPr>
          <w:rFonts w:ascii="仿宋" w:eastAsia="仿宋" w:hAnsi="仿宋" w:cs="Times New Roman"/>
          <w:sz w:val="32"/>
          <w:szCs w:val="32"/>
        </w:rPr>
        <w:t>、坚持内外监督，切实加强队伍建设，在促进素能提升上有新成效始终把促进队伍素能提升作为检察工作的根本保障，严明纪律规矩，强化教育管理，在推进检察事业发展中强筋骨，筑根基。</w:t>
      </w:r>
    </w:p>
    <w:p w:rsidR="00AB7507" w:rsidRDefault="00C91E0D">
      <w:pPr>
        <w:ind w:firstLineChars="200" w:firstLine="643"/>
        <w:rPr>
          <w:rFonts w:ascii="仿宋" w:eastAsia="仿宋" w:hAnsi="仿宋" w:cs="Times New Roman"/>
          <w:b/>
          <w:sz w:val="32"/>
          <w:szCs w:val="32"/>
        </w:rPr>
      </w:pPr>
      <w:r>
        <w:rPr>
          <w:rFonts w:ascii="仿宋" w:eastAsia="仿宋" w:hAnsi="仿宋" w:cs="Times New Roman" w:hint="eastAsia"/>
          <w:b/>
          <w:sz w:val="32"/>
          <w:szCs w:val="32"/>
        </w:rPr>
        <w:t>机构设置：</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t>（一）办公室</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t>（二）</w:t>
      </w:r>
      <w:r>
        <w:rPr>
          <w:rFonts w:ascii="仿宋" w:eastAsia="仿宋" w:hAnsi="仿宋" w:cs="Times New Roman" w:hint="eastAsia"/>
          <w:sz w:val="32"/>
          <w:szCs w:val="32"/>
        </w:rPr>
        <w:t>政治处</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t>（三）</w:t>
      </w:r>
      <w:r>
        <w:rPr>
          <w:rFonts w:ascii="仿宋" w:eastAsia="仿宋" w:hAnsi="仿宋" w:cs="Times New Roman" w:hint="eastAsia"/>
          <w:sz w:val="32"/>
          <w:szCs w:val="32"/>
        </w:rPr>
        <w:t>案管部</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t>（四）</w:t>
      </w:r>
      <w:r>
        <w:rPr>
          <w:rFonts w:ascii="仿宋" w:eastAsia="仿宋" w:hAnsi="仿宋" w:cs="Times New Roman" w:hint="eastAsia"/>
          <w:sz w:val="32"/>
          <w:szCs w:val="32"/>
        </w:rPr>
        <w:t>侦监部</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t>（五）</w:t>
      </w:r>
      <w:r>
        <w:rPr>
          <w:rFonts w:ascii="仿宋" w:eastAsia="仿宋" w:hAnsi="仿宋" w:cs="Times New Roman" w:hint="eastAsia"/>
          <w:sz w:val="32"/>
          <w:szCs w:val="32"/>
        </w:rPr>
        <w:t>公诉部</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t>（六）</w:t>
      </w:r>
      <w:r>
        <w:rPr>
          <w:rFonts w:ascii="仿宋" w:eastAsia="仿宋" w:hAnsi="仿宋" w:cs="Times New Roman" w:hint="eastAsia"/>
          <w:sz w:val="32"/>
          <w:szCs w:val="32"/>
        </w:rPr>
        <w:t>刑事执行检察部</w:t>
      </w:r>
    </w:p>
    <w:p w:rsidR="00AB7507" w:rsidRDefault="00C91E0D">
      <w:pPr>
        <w:ind w:firstLineChars="200" w:firstLine="640"/>
        <w:rPr>
          <w:rFonts w:ascii="仿宋" w:eastAsia="仿宋" w:hAnsi="仿宋" w:cs="Times New Roman"/>
          <w:sz w:val="32"/>
          <w:szCs w:val="32"/>
        </w:rPr>
      </w:pPr>
      <w:r>
        <w:rPr>
          <w:rFonts w:ascii="仿宋" w:eastAsia="仿宋" w:hAnsi="仿宋" w:cs="Times New Roman" w:hint="eastAsia"/>
          <w:sz w:val="32"/>
          <w:szCs w:val="32"/>
        </w:rPr>
        <w:lastRenderedPageBreak/>
        <w:t>（七）</w:t>
      </w:r>
      <w:r>
        <w:rPr>
          <w:rFonts w:ascii="仿宋" w:eastAsia="仿宋" w:hAnsi="仿宋" w:cs="Times New Roman" w:hint="eastAsia"/>
          <w:sz w:val="32"/>
          <w:szCs w:val="32"/>
        </w:rPr>
        <w:t>民行</w:t>
      </w:r>
      <w:r>
        <w:rPr>
          <w:rFonts w:ascii="仿宋" w:eastAsia="仿宋" w:hAnsi="仿宋" w:cs="Times New Roman" w:hint="eastAsia"/>
          <w:sz w:val="32"/>
          <w:szCs w:val="32"/>
        </w:rPr>
        <w:t>部</w:t>
      </w:r>
    </w:p>
    <w:p w:rsidR="00AB7507" w:rsidRDefault="00AB7507">
      <w:pPr>
        <w:ind w:firstLineChars="200" w:firstLine="643"/>
        <w:rPr>
          <w:rFonts w:ascii="仿宋" w:eastAsia="仿宋" w:hAnsi="仿宋" w:cs="Times New Roman"/>
          <w:b/>
          <w:sz w:val="32"/>
          <w:szCs w:val="32"/>
        </w:rPr>
      </w:pPr>
    </w:p>
    <w:p w:rsidR="00AB7507" w:rsidRDefault="00C91E0D">
      <w:pPr>
        <w:jc w:val="center"/>
        <w:outlineLvl w:val="0"/>
        <w:rPr>
          <w:rFonts w:ascii="Times New Roman" w:eastAsia="方正小标宋_GBK" w:hAnsi="Times New Roman" w:cs="Times New Roman"/>
          <w:sz w:val="32"/>
          <w:szCs w:val="32"/>
        </w:rPr>
      </w:pPr>
      <w:r>
        <w:rPr>
          <w:rFonts w:ascii="Times New Roman" w:eastAsia="方正小标宋_GBK" w:hAnsi="Times New Roman" w:cs="方正小标宋_GBK" w:hint="eastAsia"/>
          <w:sz w:val="32"/>
          <w:szCs w:val="32"/>
        </w:rPr>
        <w:t>部门机构设置情况</w:t>
      </w:r>
    </w:p>
    <w:tbl>
      <w:tblPr>
        <w:tblW w:w="97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4417"/>
        <w:gridCol w:w="1134"/>
        <w:gridCol w:w="1276"/>
        <w:gridCol w:w="2902"/>
      </w:tblGrid>
      <w:tr w:rsidR="00AB7507">
        <w:trPr>
          <w:trHeight w:val="300"/>
          <w:tblHeader/>
          <w:jc w:val="center"/>
        </w:trPr>
        <w:tc>
          <w:tcPr>
            <w:tcW w:w="4417" w:type="dxa"/>
            <w:vMerge w:val="restart"/>
            <w:vAlign w:val="center"/>
          </w:tcPr>
          <w:p w:rsidR="00AB7507" w:rsidRDefault="00C91E0D">
            <w:pPr>
              <w:spacing w:line="300" w:lineRule="exact"/>
              <w:jc w:val="center"/>
              <w:rPr>
                <w:rFonts w:ascii="Times New Roman" w:eastAsia="方正书宋_GBK" w:hAnsi="Times New Roman" w:cs="Times New Roman"/>
                <w:b/>
                <w:bCs/>
              </w:rPr>
            </w:pPr>
            <w:r>
              <w:rPr>
                <w:rFonts w:ascii="Times New Roman" w:eastAsia="方正书宋_GBK" w:hAnsi="Times New Roman" w:cs="方正书宋_GBK" w:hint="eastAsia"/>
                <w:b/>
                <w:bCs/>
              </w:rPr>
              <w:t>单位名称</w:t>
            </w:r>
          </w:p>
        </w:tc>
        <w:tc>
          <w:tcPr>
            <w:tcW w:w="1134" w:type="dxa"/>
            <w:vMerge w:val="restart"/>
            <w:vAlign w:val="center"/>
          </w:tcPr>
          <w:p w:rsidR="00AB7507" w:rsidRDefault="00C91E0D">
            <w:pPr>
              <w:spacing w:line="300" w:lineRule="exact"/>
              <w:jc w:val="center"/>
              <w:rPr>
                <w:rFonts w:ascii="Times New Roman" w:eastAsia="方正书宋_GBK" w:hAnsi="Times New Roman" w:cs="Times New Roman"/>
                <w:b/>
                <w:bCs/>
              </w:rPr>
            </w:pPr>
            <w:r>
              <w:rPr>
                <w:rFonts w:ascii="Times New Roman" w:eastAsia="方正书宋_GBK" w:hAnsi="Times New Roman" w:cs="方正书宋_GBK" w:hint="eastAsia"/>
                <w:b/>
                <w:bCs/>
              </w:rPr>
              <w:t>单位性质</w:t>
            </w:r>
          </w:p>
        </w:tc>
        <w:tc>
          <w:tcPr>
            <w:tcW w:w="1276" w:type="dxa"/>
            <w:vMerge w:val="restart"/>
            <w:vAlign w:val="center"/>
          </w:tcPr>
          <w:p w:rsidR="00AB7507" w:rsidRDefault="00C91E0D">
            <w:pPr>
              <w:spacing w:line="300" w:lineRule="exact"/>
              <w:jc w:val="center"/>
              <w:rPr>
                <w:rFonts w:ascii="Times New Roman" w:eastAsia="方正书宋_GBK" w:hAnsi="Times New Roman" w:cs="Times New Roman"/>
                <w:b/>
                <w:bCs/>
              </w:rPr>
            </w:pPr>
            <w:r>
              <w:rPr>
                <w:rFonts w:ascii="Times New Roman" w:eastAsia="方正书宋_GBK" w:hAnsi="Times New Roman" w:cs="方正书宋_GBK" w:hint="eastAsia"/>
                <w:b/>
                <w:bCs/>
              </w:rPr>
              <w:t>单位规格</w:t>
            </w:r>
          </w:p>
        </w:tc>
        <w:tc>
          <w:tcPr>
            <w:tcW w:w="2902" w:type="dxa"/>
            <w:vMerge w:val="restart"/>
            <w:vAlign w:val="center"/>
          </w:tcPr>
          <w:p w:rsidR="00AB7507" w:rsidRDefault="00C91E0D">
            <w:pPr>
              <w:spacing w:line="300" w:lineRule="exact"/>
              <w:jc w:val="center"/>
              <w:rPr>
                <w:rFonts w:ascii="Times New Roman" w:eastAsia="方正书宋_GBK" w:hAnsi="Times New Roman" w:cs="Times New Roman"/>
                <w:b/>
                <w:bCs/>
              </w:rPr>
            </w:pPr>
            <w:r>
              <w:rPr>
                <w:rFonts w:ascii="Times New Roman" w:eastAsia="方正书宋_GBK" w:hAnsi="Times New Roman" w:cs="方正书宋_GBK" w:hint="eastAsia"/>
                <w:b/>
                <w:bCs/>
              </w:rPr>
              <w:t>经费保障形式</w:t>
            </w:r>
          </w:p>
        </w:tc>
      </w:tr>
      <w:tr w:rsidR="00AB7507">
        <w:trPr>
          <w:trHeight w:val="300"/>
          <w:tblHeader/>
          <w:jc w:val="center"/>
        </w:trPr>
        <w:tc>
          <w:tcPr>
            <w:tcW w:w="4417" w:type="dxa"/>
            <w:vMerge/>
            <w:vAlign w:val="center"/>
          </w:tcPr>
          <w:p w:rsidR="00AB7507" w:rsidRDefault="00AB7507">
            <w:pPr>
              <w:spacing w:line="300" w:lineRule="exact"/>
              <w:jc w:val="left"/>
              <w:outlineLvl w:val="0"/>
              <w:rPr>
                <w:rFonts w:ascii="Times New Roman" w:hAnsi="Times New Roman" w:cs="Times New Roman"/>
              </w:rPr>
            </w:pPr>
          </w:p>
        </w:tc>
        <w:tc>
          <w:tcPr>
            <w:tcW w:w="1134" w:type="dxa"/>
            <w:vMerge/>
            <w:vAlign w:val="center"/>
          </w:tcPr>
          <w:p w:rsidR="00AB7507" w:rsidRDefault="00AB7507">
            <w:pPr>
              <w:spacing w:line="300" w:lineRule="exact"/>
              <w:jc w:val="left"/>
              <w:outlineLvl w:val="0"/>
              <w:rPr>
                <w:rFonts w:ascii="Times New Roman" w:hAnsi="Times New Roman" w:cs="Times New Roman"/>
              </w:rPr>
            </w:pPr>
          </w:p>
        </w:tc>
        <w:tc>
          <w:tcPr>
            <w:tcW w:w="1276" w:type="dxa"/>
            <w:vMerge/>
            <w:vAlign w:val="center"/>
          </w:tcPr>
          <w:p w:rsidR="00AB7507" w:rsidRDefault="00AB7507">
            <w:pPr>
              <w:spacing w:line="300" w:lineRule="exact"/>
              <w:jc w:val="left"/>
              <w:outlineLvl w:val="0"/>
              <w:rPr>
                <w:rFonts w:ascii="Times New Roman" w:hAnsi="Times New Roman" w:cs="Times New Roman"/>
              </w:rPr>
            </w:pPr>
          </w:p>
        </w:tc>
        <w:tc>
          <w:tcPr>
            <w:tcW w:w="2902" w:type="dxa"/>
            <w:vMerge/>
            <w:vAlign w:val="center"/>
          </w:tcPr>
          <w:p w:rsidR="00AB7507" w:rsidRDefault="00AB7507">
            <w:pPr>
              <w:spacing w:line="300" w:lineRule="exact"/>
              <w:jc w:val="left"/>
              <w:outlineLvl w:val="0"/>
              <w:rPr>
                <w:rFonts w:ascii="Times New Roman" w:hAnsi="Times New Roman" w:cs="Times New Roman"/>
              </w:rPr>
            </w:pPr>
          </w:p>
        </w:tc>
      </w:tr>
      <w:tr w:rsidR="00AB7507">
        <w:trPr>
          <w:trHeight w:val="445"/>
          <w:jc w:val="center"/>
        </w:trPr>
        <w:tc>
          <w:tcPr>
            <w:tcW w:w="4417" w:type="dxa"/>
            <w:vAlign w:val="center"/>
          </w:tcPr>
          <w:p w:rsidR="00AB7507" w:rsidRDefault="00C91E0D">
            <w:pPr>
              <w:spacing w:line="300" w:lineRule="exact"/>
              <w:jc w:val="left"/>
              <w:rPr>
                <w:rFonts w:ascii="Times New Roman" w:eastAsia="方正书宋_GBK" w:hAnsi="Times New Roman" w:cs="Times New Roman"/>
                <w:highlight w:val="yellow"/>
              </w:rPr>
            </w:pPr>
            <w:r>
              <w:rPr>
                <w:rFonts w:ascii="Times New Roman" w:eastAsia="方正书宋_GBK" w:hAnsi="Times New Roman" w:cs="Times New Roman" w:hint="eastAsia"/>
                <w:szCs w:val="24"/>
              </w:rPr>
              <w:t>枣强县人民检察院</w:t>
            </w:r>
          </w:p>
        </w:tc>
        <w:tc>
          <w:tcPr>
            <w:tcW w:w="1134" w:type="dxa"/>
            <w:vAlign w:val="center"/>
          </w:tcPr>
          <w:p w:rsidR="00AB7507" w:rsidRDefault="00C91E0D">
            <w:pPr>
              <w:spacing w:line="300" w:lineRule="exact"/>
              <w:jc w:val="center"/>
              <w:rPr>
                <w:rFonts w:ascii="Times New Roman" w:eastAsia="方正书宋_GBK" w:hAnsi="Times New Roman" w:cs="Times New Roman"/>
                <w:highlight w:val="yellow"/>
              </w:rPr>
            </w:pPr>
            <w:r>
              <w:rPr>
                <w:rFonts w:ascii="方正书宋_GBK" w:eastAsia="方正书宋_GBK" w:cs="方正书宋_GBK" w:hint="eastAsia"/>
              </w:rPr>
              <w:t>行政</w:t>
            </w:r>
          </w:p>
        </w:tc>
        <w:tc>
          <w:tcPr>
            <w:tcW w:w="1276" w:type="dxa"/>
            <w:vAlign w:val="center"/>
          </w:tcPr>
          <w:p w:rsidR="00AB7507" w:rsidRDefault="00C91E0D">
            <w:pPr>
              <w:spacing w:line="300" w:lineRule="exact"/>
              <w:jc w:val="center"/>
              <w:rPr>
                <w:rFonts w:ascii="Times New Roman" w:eastAsia="方正书宋_GBK" w:hAnsi="Times New Roman" w:cs="Times New Roman"/>
                <w:highlight w:val="yellow"/>
              </w:rPr>
            </w:pPr>
            <w:r>
              <w:rPr>
                <w:rFonts w:ascii="方正书宋_GBK" w:eastAsia="方正书宋_GBK" w:hint="eastAsia"/>
              </w:rPr>
              <w:t>副处</w:t>
            </w:r>
            <w:r>
              <w:rPr>
                <w:rFonts w:ascii="方正书宋_GBK" w:eastAsia="方正书宋_GBK" w:hint="eastAsia"/>
              </w:rPr>
              <w:t>级</w:t>
            </w:r>
          </w:p>
        </w:tc>
        <w:tc>
          <w:tcPr>
            <w:tcW w:w="2902" w:type="dxa"/>
            <w:vAlign w:val="center"/>
          </w:tcPr>
          <w:p w:rsidR="00AB7507" w:rsidRDefault="00C91E0D">
            <w:pPr>
              <w:spacing w:line="300" w:lineRule="exact"/>
              <w:jc w:val="center"/>
              <w:rPr>
                <w:rFonts w:ascii="Times New Roman" w:eastAsia="方正书宋_GBK" w:hAnsi="Times New Roman" w:cs="Times New Roman"/>
                <w:highlight w:val="yellow"/>
              </w:rPr>
            </w:pPr>
            <w:r>
              <w:rPr>
                <w:rFonts w:ascii="方正书宋_GBK" w:eastAsia="方正书宋_GBK" w:cs="方正书宋_GBK" w:hint="eastAsia"/>
              </w:rPr>
              <w:t>财政拨款</w:t>
            </w:r>
          </w:p>
        </w:tc>
      </w:tr>
    </w:tbl>
    <w:p w:rsidR="00AB7507" w:rsidRDefault="00AB7507"/>
    <w:p w:rsidR="00AB7507" w:rsidRDefault="00C91E0D">
      <w:pPr>
        <w:ind w:firstLine="640"/>
        <w:rPr>
          <w:rFonts w:ascii="黑体" w:eastAsia="黑体" w:hAnsi="黑体" w:cs="Times New Roman"/>
          <w:sz w:val="32"/>
          <w:szCs w:val="32"/>
        </w:rPr>
      </w:pPr>
      <w:r>
        <w:rPr>
          <w:rFonts w:ascii="黑体" w:eastAsia="黑体" w:hAnsi="黑体" w:cs="Times New Roman" w:hint="eastAsia"/>
          <w:sz w:val="32"/>
          <w:szCs w:val="32"/>
        </w:rPr>
        <w:t>二、部门预算安排的总体情况</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sz w:val="32"/>
          <w:szCs w:val="32"/>
        </w:rPr>
        <w:t>按照预算管理有关规定，目前我</w:t>
      </w:r>
      <w:r>
        <w:rPr>
          <w:rFonts w:ascii="Times New Roman" w:eastAsia="仿宋" w:hAnsi="Times New Roman" w:cs="Times New Roman" w:hint="eastAsia"/>
          <w:sz w:val="32"/>
          <w:szCs w:val="32"/>
        </w:rPr>
        <w:t>县</w:t>
      </w:r>
      <w:r>
        <w:rPr>
          <w:rFonts w:ascii="Times New Roman" w:eastAsia="仿宋" w:hAnsi="Times New Roman" w:cs="Times New Roman"/>
          <w:sz w:val="32"/>
          <w:szCs w:val="32"/>
        </w:rPr>
        <w:t>部门预算的编制实行综合预算</w:t>
      </w:r>
      <w:r>
        <w:rPr>
          <w:rFonts w:ascii="Times New Roman" w:eastAsia="仿宋" w:hAnsi="Times New Roman" w:cs="Times New Roman" w:hint="eastAsia"/>
          <w:sz w:val="32"/>
          <w:szCs w:val="32"/>
        </w:rPr>
        <w:t>管理</w:t>
      </w:r>
      <w:r>
        <w:rPr>
          <w:rFonts w:ascii="Times New Roman" w:eastAsia="仿宋" w:hAnsi="Times New Roman" w:cs="Times New Roman"/>
          <w:sz w:val="32"/>
          <w:szCs w:val="32"/>
        </w:rPr>
        <w:t>，即全部收入和支出都反映的预算中。</w:t>
      </w:r>
      <w:r>
        <w:rPr>
          <w:rFonts w:ascii="仿宋" w:eastAsia="仿宋" w:hAnsi="仿宋" w:cs="Times New Roman" w:hint="eastAsia"/>
          <w:sz w:val="32"/>
          <w:szCs w:val="32"/>
        </w:rPr>
        <w:t>枣强县人民检察院</w:t>
      </w:r>
      <w:r>
        <w:rPr>
          <w:rFonts w:ascii="Times New Roman" w:eastAsia="仿宋" w:hAnsi="Times New Roman" w:cs="Times New Roman"/>
          <w:sz w:val="32"/>
          <w:szCs w:val="32"/>
        </w:rPr>
        <w:t>的收支包含在部门预算中。</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w:t>
      </w:r>
      <w:r>
        <w:rPr>
          <w:rFonts w:ascii="Times New Roman" w:eastAsia="仿宋" w:hAnsi="Times New Roman" w:cs="Times New Roman"/>
          <w:sz w:val="32"/>
          <w:szCs w:val="32"/>
        </w:rPr>
        <w:t>收入说明</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反映本部门当年全部收入。</w:t>
      </w:r>
      <w:r>
        <w:rPr>
          <w:rFonts w:ascii="Times New Roman" w:eastAsia="仿宋" w:hAnsi="Times New Roman" w:cs="Times New Roman" w:hint="eastAsia"/>
          <w:sz w:val="32"/>
          <w:szCs w:val="32"/>
        </w:rPr>
        <w:t>2019</w:t>
      </w:r>
      <w:r>
        <w:rPr>
          <w:rFonts w:ascii="Times New Roman" w:eastAsia="仿宋" w:hAnsi="Times New Roman" w:cs="Times New Roman" w:hint="eastAsia"/>
          <w:sz w:val="32"/>
          <w:szCs w:val="32"/>
        </w:rPr>
        <w:t>年预算收入</w:t>
      </w:r>
      <w:r>
        <w:rPr>
          <w:rFonts w:ascii="Times New Roman" w:eastAsia="仿宋" w:hAnsi="Times New Roman" w:cs="Times New Roman" w:hint="eastAsia"/>
          <w:sz w:val="32"/>
          <w:szCs w:val="32"/>
        </w:rPr>
        <w:t>2097.15</w:t>
      </w:r>
      <w:r>
        <w:rPr>
          <w:rFonts w:ascii="Times New Roman" w:eastAsia="仿宋" w:hAnsi="Times New Roman" w:cs="Times New Roman" w:hint="eastAsia"/>
          <w:sz w:val="32"/>
          <w:szCs w:val="32"/>
        </w:rPr>
        <w:t>万元，其中：一般公共预算收入</w:t>
      </w:r>
      <w:r>
        <w:rPr>
          <w:rFonts w:ascii="Times New Roman" w:eastAsia="仿宋" w:hAnsi="Times New Roman" w:cs="Times New Roman" w:hint="eastAsia"/>
          <w:sz w:val="32"/>
          <w:szCs w:val="32"/>
        </w:rPr>
        <w:t>2097.15</w:t>
      </w:r>
      <w:r>
        <w:rPr>
          <w:rFonts w:ascii="Times New Roman" w:eastAsia="仿宋" w:hAnsi="Times New Roman" w:cs="Times New Roman" w:hint="eastAsia"/>
          <w:sz w:val="32"/>
          <w:szCs w:val="32"/>
        </w:rPr>
        <w:t>万元，基金预算收入</w:t>
      </w:r>
      <w:r>
        <w:rPr>
          <w:rFonts w:ascii="Times New Roman" w:eastAsia="仿宋" w:hAnsi="Times New Roman" w:cs="Times New Roman" w:hint="eastAsia"/>
          <w:sz w:val="32"/>
          <w:szCs w:val="32"/>
        </w:rPr>
        <w:t>0</w:t>
      </w:r>
      <w:r>
        <w:rPr>
          <w:rFonts w:ascii="Times New Roman" w:eastAsia="仿宋" w:hAnsi="Times New Roman" w:cs="Times New Roman" w:hint="eastAsia"/>
          <w:sz w:val="32"/>
          <w:szCs w:val="32"/>
        </w:rPr>
        <w:t>万元，财政专户核拨收入</w:t>
      </w:r>
      <w:r>
        <w:rPr>
          <w:rFonts w:ascii="Times New Roman" w:eastAsia="仿宋" w:hAnsi="Times New Roman" w:cs="Times New Roman" w:hint="eastAsia"/>
          <w:sz w:val="32"/>
          <w:szCs w:val="32"/>
        </w:rPr>
        <w:t>0</w:t>
      </w:r>
      <w:r>
        <w:rPr>
          <w:rFonts w:ascii="Times New Roman" w:eastAsia="仿宋" w:hAnsi="Times New Roman" w:cs="Times New Roman" w:hint="eastAsia"/>
          <w:sz w:val="32"/>
          <w:szCs w:val="32"/>
        </w:rPr>
        <w:t>万元，其他来源收入</w:t>
      </w:r>
      <w:r>
        <w:rPr>
          <w:rFonts w:ascii="Times New Roman" w:eastAsia="仿宋" w:hAnsi="Times New Roman" w:cs="Times New Roman" w:hint="eastAsia"/>
          <w:sz w:val="32"/>
          <w:szCs w:val="32"/>
        </w:rPr>
        <w:t>0</w:t>
      </w:r>
      <w:r>
        <w:rPr>
          <w:rFonts w:ascii="Times New Roman" w:eastAsia="仿宋" w:hAnsi="Times New Roman" w:cs="Times New Roman" w:hint="eastAsia"/>
          <w:sz w:val="32"/>
          <w:szCs w:val="32"/>
        </w:rPr>
        <w:t>万元。</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w:t>
      </w:r>
      <w:r>
        <w:rPr>
          <w:rFonts w:ascii="Times New Roman" w:eastAsia="仿宋" w:hAnsi="Times New Roman" w:cs="Times New Roman"/>
          <w:sz w:val="32"/>
          <w:szCs w:val="32"/>
        </w:rPr>
        <w:t>支出说明</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收支预算总表支出栏、基本支出表、项目支出表按经济分类和支出功能分类科目编制，反映</w:t>
      </w:r>
      <w:r>
        <w:rPr>
          <w:rFonts w:ascii="仿宋" w:eastAsia="仿宋" w:hAnsi="仿宋" w:cs="Times New Roman" w:hint="eastAsia"/>
          <w:sz w:val="32"/>
          <w:szCs w:val="32"/>
        </w:rPr>
        <w:t>2019</w:t>
      </w:r>
      <w:r>
        <w:rPr>
          <w:rFonts w:ascii="Times New Roman" w:eastAsia="仿宋" w:hAnsi="Times New Roman" w:cs="Times New Roman" w:hint="eastAsia"/>
          <w:sz w:val="32"/>
          <w:szCs w:val="32"/>
        </w:rPr>
        <w:t>年度部门预算中支出预算的总体情况。</w:t>
      </w:r>
      <w:r>
        <w:rPr>
          <w:rFonts w:ascii="Times New Roman" w:eastAsia="仿宋" w:hAnsi="Times New Roman" w:cs="Times New Roman" w:hint="eastAsia"/>
          <w:sz w:val="32"/>
          <w:szCs w:val="32"/>
        </w:rPr>
        <w:t>2019</w:t>
      </w:r>
      <w:r>
        <w:rPr>
          <w:rFonts w:ascii="Times New Roman" w:eastAsia="仿宋" w:hAnsi="Times New Roman" w:cs="Times New Roman" w:hint="eastAsia"/>
          <w:sz w:val="32"/>
          <w:szCs w:val="32"/>
        </w:rPr>
        <w:t>年部门支出预算为</w:t>
      </w:r>
      <w:r>
        <w:rPr>
          <w:rFonts w:ascii="Times New Roman" w:eastAsia="仿宋" w:hAnsi="Times New Roman" w:cs="Times New Roman" w:hint="eastAsia"/>
          <w:sz w:val="32"/>
          <w:szCs w:val="32"/>
        </w:rPr>
        <w:t>2097.15</w:t>
      </w:r>
      <w:r>
        <w:rPr>
          <w:rFonts w:ascii="Times New Roman" w:eastAsia="仿宋" w:hAnsi="Times New Roman" w:cs="Times New Roman" w:hint="eastAsia"/>
          <w:sz w:val="32"/>
          <w:szCs w:val="32"/>
        </w:rPr>
        <w:t>万元，其中基本支出</w:t>
      </w:r>
      <w:r>
        <w:rPr>
          <w:rFonts w:ascii="Times New Roman" w:eastAsia="仿宋" w:hAnsi="Times New Roman" w:cs="Times New Roman" w:hint="eastAsia"/>
          <w:sz w:val="32"/>
          <w:szCs w:val="32"/>
        </w:rPr>
        <w:t>683.35</w:t>
      </w:r>
      <w:r>
        <w:rPr>
          <w:rFonts w:ascii="Times New Roman" w:eastAsia="仿宋" w:hAnsi="Times New Roman" w:cs="Times New Roman" w:hint="eastAsia"/>
          <w:sz w:val="32"/>
          <w:szCs w:val="32"/>
        </w:rPr>
        <w:t>万元，包括人员经费</w:t>
      </w:r>
      <w:r>
        <w:rPr>
          <w:rFonts w:ascii="Times New Roman" w:eastAsia="仿宋" w:hAnsi="Times New Roman" w:cs="Times New Roman" w:hint="eastAsia"/>
          <w:sz w:val="32"/>
          <w:szCs w:val="32"/>
        </w:rPr>
        <w:t>620.79</w:t>
      </w:r>
      <w:r>
        <w:rPr>
          <w:rFonts w:ascii="Times New Roman" w:eastAsia="仿宋" w:hAnsi="Times New Roman" w:cs="Times New Roman" w:hint="eastAsia"/>
          <w:sz w:val="32"/>
          <w:szCs w:val="32"/>
        </w:rPr>
        <w:t>万元和日常公用经费</w:t>
      </w:r>
      <w:r>
        <w:rPr>
          <w:rFonts w:ascii="Times New Roman" w:eastAsia="仿宋" w:hAnsi="Times New Roman" w:cs="Times New Roman" w:hint="eastAsia"/>
          <w:sz w:val="32"/>
          <w:szCs w:val="32"/>
        </w:rPr>
        <w:t>62.56</w:t>
      </w:r>
      <w:r>
        <w:rPr>
          <w:rFonts w:ascii="Times New Roman" w:eastAsia="仿宋" w:hAnsi="Times New Roman" w:cs="Times New Roman" w:hint="eastAsia"/>
          <w:sz w:val="32"/>
          <w:szCs w:val="32"/>
        </w:rPr>
        <w:t>万元；项目支出</w:t>
      </w:r>
      <w:r>
        <w:rPr>
          <w:rFonts w:ascii="Times New Roman" w:eastAsia="仿宋" w:hAnsi="Times New Roman" w:cs="Times New Roman" w:hint="eastAsia"/>
          <w:sz w:val="32"/>
          <w:szCs w:val="32"/>
        </w:rPr>
        <w:t>1413.8</w:t>
      </w:r>
      <w:r>
        <w:rPr>
          <w:rFonts w:ascii="Times New Roman" w:eastAsia="仿宋" w:hAnsi="Times New Roman" w:cs="Times New Roman" w:hint="eastAsia"/>
          <w:sz w:val="32"/>
          <w:szCs w:val="32"/>
        </w:rPr>
        <w:t>万元，主要</w:t>
      </w:r>
      <w:r>
        <w:rPr>
          <w:rFonts w:ascii="Times New Roman" w:eastAsia="仿宋" w:hAnsi="Times New Roman" w:cs="Times New Roman" w:hint="eastAsia"/>
          <w:sz w:val="32"/>
          <w:szCs w:val="32"/>
        </w:rPr>
        <w:t>为</w:t>
      </w:r>
      <w:r>
        <w:rPr>
          <w:rFonts w:ascii="Times New Roman" w:eastAsia="仿宋" w:hAnsi="Times New Roman" w:cs="Times New Roman" w:hint="eastAsia"/>
          <w:sz w:val="32"/>
          <w:szCs w:val="32"/>
        </w:rPr>
        <w:t>检察院保障</w:t>
      </w:r>
      <w:r>
        <w:rPr>
          <w:rFonts w:ascii="Times New Roman" w:eastAsia="仿宋" w:hAnsi="Times New Roman" w:cs="Times New Roman" w:hint="eastAsia"/>
          <w:sz w:val="32"/>
          <w:szCs w:val="32"/>
        </w:rPr>
        <w:lastRenderedPageBreak/>
        <w:t>经费</w:t>
      </w:r>
      <w:r>
        <w:rPr>
          <w:rFonts w:ascii="Times New Roman" w:eastAsia="仿宋" w:hAnsi="Times New Roman" w:cs="Times New Roman" w:hint="eastAsia"/>
          <w:sz w:val="32"/>
          <w:szCs w:val="32"/>
        </w:rPr>
        <w:t>103.6</w:t>
      </w:r>
      <w:r>
        <w:rPr>
          <w:rFonts w:ascii="Times New Roman" w:eastAsia="仿宋" w:hAnsi="Times New Roman" w:cs="Times New Roman" w:hint="eastAsia"/>
          <w:sz w:val="32"/>
          <w:szCs w:val="32"/>
        </w:rPr>
        <w:t>万元，检察业务支出</w:t>
      </w:r>
      <w:r>
        <w:rPr>
          <w:rFonts w:ascii="Times New Roman" w:eastAsia="仿宋" w:hAnsi="Times New Roman" w:cs="Times New Roman" w:hint="eastAsia"/>
          <w:sz w:val="32"/>
          <w:szCs w:val="32"/>
        </w:rPr>
        <w:t>150</w:t>
      </w:r>
      <w:r>
        <w:rPr>
          <w:rFonts w:ascii="Times New Roman" w:eastAsia="仿宋" w:hAnsi="Times New Roman" w:cs="Times New Roman" w:hint="eastAsia"/>
          <w:sz w:val="32"/>
          <w:szCs w:val="32"/>
        </w:rPr>
        <w:t>万元，</w:t>
      </w:r>
      <w:r>
        <w:rPr>
          <w:rFonts w:ascii="Times New Roman" w:eastAsia="仿宋" w:hAnsi="Times New Roman" w:cs="Times New Roman" w:hint="eastAsia"/>
          <w:sz w:val="32"/>
          <w:szCs w:val="32"/>
        </w:rPr>
        <w:t>青少年法治教育实践基地建设</w:t>
      </w:r>
      <w:r>
        <w:rPr>
          <w:rFonts w:ascii="Times New Roman" w:eastAsia="仿宋" w:hAnsi="Times New Roman" w:cs="Times New Roman" w:hint="eastAsia"/>
          <w:sz w:val="32"/>
          <w:szCs w:val="32"/>
        </w:rPr>
        <w:t>支出</w:t>
      </w:r>
      <w:r>
        <w:rPr>
          <w:rFonts w:ascii="Times New Roman" w:eastAsia="仿宋" w:hAnsi="Times New Roman" w:cs="Times New Roman" w:hint="eastAsia"/>
          <w:sz w:val="32"/>
          <w:szCs w:val="32"/>
        </w:rPr>
        <w:t>1000</w:t>
      </w:r>
      <w:r>
        <w:rPr>
          <w:rFonts w:ascii="Times New Roman" w:eastAsia="仿宋" w:hAnsi="Times New Roman" w:cs="Times New Roman" w:hint="eastAsia"/>
          <w:sz w:val="32"/>
          <w:szCs w:val="32"/>
        </w:rPr>
        <w:t>万元</w:t>
      </w:r>
      <w:r>
        <w:rPr>
          <w:rFonts w:ascii="Times New Roman" w:eastAsia="仿宋" w:hAnsi="Times New Roman" w:cs="Times New Roman" w:hint="eastAsia"/>
          <w:sz w:val="32"/>
          <w:szCs w:val="32"/>
        </w:rPr>
        <w:t>，英才入冀房屋补贴经费</w:t>
      </w:r>
      <w:r>
        <w:rPr>
          <w:rFonts w:ascii="Times New Roman" w:eastAsia="仿宋" w:hAnsi="Times New Roman" w:cs="Times New Roman" w:hint="eastAsia"/>
          <w:sz w:val="32"/>
          <w:szCs w:val="32"/>
        </w:rPr>
        <w:t>1.2</w:t>
      </w:r>
      <w:r>
        <w:rPr>
          <w:rFonts w:ascii="Times New Roman" w:eastAsia="仿宋" w:hAnsi="Times New Roman" w:cs="Times New Roman" w:hint="eastAsia"/>
          <w:sz w:val="32"/>
          <w:szCs w:val="32"/>
        </w:rPr>
        <w:t>万元，</w:t>
      </w:r>
      <w:r>
        <w:rPr>
          <w:rFonts w:ascii="Times New Roman" w:eastAsia="仿宋" w:hAnsi="Times New Roman" w:cs="Times New Roman" w:hint="eastAsia"/>
          <w:sz w:val="32"/>
          <w:szCs w:val="32"/>
        </w:rPr>
        <w:t>中央转移支付业务费和装备费</w:t>
      </w:r>
      <w:r>
        <w:rPr>
          <w:rFonts w:ascii="Times New Roman" w:eastAsia="仿宋" w:hAnsi="Times New Roman" w:cs="Times New Roman" w:hint="eastAsia"/>
          <w:sz w:val="32"/>
          <w:szCs w:val="32"/>
        </w:rPr>
        <w:t>支出</w:t>
      </w:r>
      <w:r>
        <w:rPr>
          <w:rFonts w:ascii="Times New Roman" w:eastAsia="仿宋" w:hAnsi="Times New Roman" w:cs="Times New Roman" w:hint="eastAsia"/>
          <w:sz w:val="32"/>
          <w:szCs w:val="32"/>
        </w:rPr>
        <w:t>159</w:t>
      </w:r>
      <w:r>
        <w:rPr>
          <w:rFonts w:ascii="Times New Roman" w:eastAsia="仿宋" w:hAnsi="Times New Roman" w:cs="Times New Roman" w:hint="eastAsia"/>
          <w:sz w:val="32"/>
          <w:szCs w:val="32"/>
        </w:rPr>
        <w:t>万元</w:t>
      </w:r>
      <w:r>
        <w:rPr>
          <w:rFonts w:ascii="Times New Roman" w:eastAsia="仿宋" w:hAnsi="Times New Roman" w:cs="Times New Roman" w:hint="eastAsia"/>
          <w:sz w:val="32"/>
          <w:szCs w:val="32"/>
        </w:rPr>
        <w:t>。</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比上年增减情况</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color w:val="000000"/>
          <w:sz w:val="32"/>
          <w:szCs w:val="32"/>
        </w:rPr>
        <w:t>2019</w:t>
      </w:r>
      <w:r>
        <w:rPr>
          <w:rFonts w:ascii="Times New Roman" w:eastAsia="仿宋" w:hAnsi="Times New Roman" w:cs="Times New Roman" w:hint="eastAsia"/>
          <w:color w:val="000000"/>
          <w:sz w:val="32"/>
          <w:szCs w:val="32"/>
        </w:rPr>
        <w:t>年部门预算收支安排</w:t>
      </w:r>
      <w:r>
        <w:rPr>
          <w:rFonts w:ascii="Times New Roman" w:eastAsia="仿宋" w:hAnsi="Times New Roman" w:cs="Times New Roman" w:hint="eastAsia"/>
          <w:sz w:val="32"/>
          <w:szCs w:val="32"/>
        </w:rPr>
        <w:t>2097.15</w:t>
      </w:r>
      <w:r>
        <w:rPr>
          <w:rFonts w:ascii="Times New Roman" w:eastAsia="仿宋" w:hAnsi="Times New Roman" w:cs="Times New Roman" w:hint="eastAsia"/>
          <w:color w:val="000000"/>
          <w:sz w:val="32"/>
          <w:szCs w:val="32"/>
        </w:rPr>
        <w:t>万元，</w:t>
      </w:r>
      <w:r>
        <w:rPr>
          <w:rFonts w:ascii="Times New Roman" w:eastAsia="仿宋" w:hAnsi="Times New Roman" w:cs="Times New Roman" w:hint="eastAsia"/>
          <w:sz w:val="32"/>
          <w:szCs w:val="32"/>
        </w:rPr>
        <w:t>较</w:t>
      </w:r>
      <w:r>
        <w:rPr>
          <w:rFonts w:ascii="Times New Roman" w:eastAsia="仿宋" w:hAnsi="Times New Roman" w:cs="Times New Roman" w:hint="eastAsia"/>
          <w:sz w:val="32"/>
          <w:szCs w:val="32"/>
        </w:rPr>
        <w:t>2018</w:t>
      </w:r>
      <w:r>
        <w:rPr>
          <w:rFonts w:ascii="Times New Roman" w:eastAsia="仿宋" w:hAnsi="Times New Roman" w:cs="Times New Roman" w:hint="eastAsia"/>
          <w:sz w:val="32"/>
          <w:szCs w:val="32"/>
        </w:rPr>
        <w:t>年</w:t>
      </w:r>
      <w:r>
        <w:rPr>
          <w:rFonts w:ascii="Times New Roman" w:eastAsia="仿宋" w:hAnsi="Times New Roman" w:cs="Times New Roman" w:hint="eastAsia"/>
          <w:sz w:val="32"/>
          <w:szCs w:val="32"/>
        </w:rPr>
        <w:t>减少</w:t>
      </w:r>
      <w:r>
        <w:rPr>
          <w:rFonts w:ascii="Times New Roman" w:eastAsia="仿宋" w:hAnsi="Times New Roman" w:cs="Times New Roman" w:hint="eastAsia"/>
          <w:sz w:val="32"/>
          <w:szCs w:val="32"/>
        </w:rPr>
        <w:t>3254.12</w:t>
      </w:r>
      <w:r>
        <w:rPr>
          <w:rFonts w:ascii="Times New Roman" w:eastAsia="仿宋" w:hAnsi="Times New Roman" w:cs="Times New Roman" w:hint="eastAsia"/>
          <w:color w:val="000000"/>
          <w:sz w:val="32"/>
          <w:szCs w:val="32"/>
        </w:rPr>
        <w:t>万元，</w:t>
      </w:r>
      <w:r>
        <w:rPr>
          <w:rFonts w:ascii="Times New Roman" w:eastAsia="仿宋" w:hAnsi="Times New Roman" w:cs="Times New Roman" w:hint="eastAsia"/>
          <w:color w:val="000000"/>
          <w:sz w:val="32"/>
          <w:szCs w:val="32"/>
        </w:rPr>
        <w:t>主要减少了青少年法治教育实践基地建设项目经费</w:t>
      </w:r>
      <w:r>
        <w:rPr>
          <w:rFonts w:ascii="Times New Roman" w:eastAsia="仿宋" w:hAnsi="Times New Roman" w:cs="Times New Roman" w:hint="eastAsia"/>
          <w:color w:val="000000"/>
          <w:sz w:val="32"/>
          <w:szCs w:val="32"/>
        </w:rPr>
        <w:t>。</w:t>
      </w:r>
    </w:p>
    <w:p w:rsidR="00AB7507" w:rsidRDefault="00C91E0D">
      <w:pPr>
        <w:autoSpaceDE w:val="0"/>
        <w:autoSpaceDN w:val="0"/>
        <w:adjustRightInd w:val="0"/>
        <w:ind w:firstLineChars="300" w:firstLine="960"/>
        <w:jc w:val="left"/>
        <w:rPr>
          <w:rFonts w:ascii="黑体" w:eastAsia="黑体" w:hAnsi="黑体" w:cs="Times New Roman"/>
          <w:sz w:val="32"/>
          <w:szCs w:val="32"/>
        </w:rPr>
      </w:pPr>
      <w:r>
        <w:rPr>
          <w:rFonts w:ascii="黑体" w:eastAsia="黑体" w:hAnsi="黑体" w:cs="Times New Roman" w:hint="eastAsia"/>
          <w:sz w:val="32"/>
          <w:szCs w:val="32"/>
        </w:rPr>
        <w:t>三、机关运行经费安排情况</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2019</w:t>
      </w:r>
      <w:r>
        <w:rPr>
          <w:rFonts w:ascii="Times New Roman" w:eastAsia="仿宋" w:hAnsi="Times New Roman" w:cs="Times New Roman" w:hint="eastAsia"/>
          <w:sz w:val="32"/>
          <w:szCs w:val="32"/>
        </w:rPr>
        <w:t>年，我部门机关运行经费共计安排</w:t>
      </w:r>
      <w:r>
        <w:rPr>
          <w:rFonts w:ascii="Times New Roman" w:eastAsia="仿宋" w:hAnsi="Times New Roman" w:cs="Times New Roman" w:hint="eastAsia"/>
          <w:sz w:val="32"/>
          <w:szCs w:val="32"/>
        </w:rPr>
        <w:t>62.56</w:t>
      </w:r>
      <w:r>
        <w:rPr>
          <w:rFonts w:ascii="Times New Roman" w:eastAsia="仿宋" w:hAnsi="Times New Roman" w:cs="Times New Roman" w:hint="eastAsia"/>
          <w:sz w:val="32"/>
          <w:szCs w:val="32"/>
        </w:rPr>
        <w:t>万元，主要用于保证机关正常运转的</w:t>
      </w:r>
      <w:r>
        <w:rPr>
          <w:rFonts w:ascii="Times New Roman" w:eastAsia="仿宋" w:hAnsi="Times New Roman" w:cs="Times New Roman" w:hint="eastAsia"/>
          <w:sz w:val="32"/>
          <w:szCs w:val="32"/>
        </w:rPr>
        <w:t>办公及印刷费、邮电费、差旅费、会议费、福利费、专用材料及一般设备购置费、办公用房水电费、办公用房取暖费、日常维修费、办公楼物业管理费、公务车运行维护费等支出。</w:t>
      </w:r>
    </w:p>
    <w:p w:rsidR="00AB7507" w:rsidRDefault="00C91E0D">
      <w:pPr>
        <w:autoSpaceDE w:val="0"/>
        <w:autoSpaceDN w:val="0"/>
        <w:adjustRightInd w:val="0"/>
        <w:ind w:left="198" w:firstLineChars="200" w:firstLine="640"/>
        <w:jc w:val="left"/>
        <w:rPr>
          <w:rFonts w:ascii="黑体" w:eastAsia="黑体" w:hAnsi="黑体" w:cs="Times New Roman"/>
          <w:sz w:val="32"/>
          <w:szCs w:val="32"/>
        </w:rPr>
      </w:pPr>
      <w:r>
        <w:rPr>
          <w:rFonts w:ascii="黑体" w:eastAsia="黑体" w:hAnsi="黑体" w:cs="Times New Roman" w:hint="eastAsia"/>
          <w:sz w:val="32"/>
          <w:szCs w:val="32"/>
        </w:rPr>
        <w:t>四、财政拨款</w:t>
      </w:r>
      <w:r>
        <w:rPr>
          <w:rFonts w:ascii="黑体" w:eastAsia="黑体" w:hAnsi="黑体" w:cs="Times New Roman"/>
          <w:sz w:val="32"/>
          <w:szCs w:val="32"/>
        </w:rPr>
        <w:t>“</w:t>
      </w:r>
      <w:r>
        <w:rPr>
          <w:rFonts w:ascii="黑体" w:eastAsia="黑体" w:hAnsi="黑体" w:cs="Times New Roman" w:hint="eastAsia"/>
          <w:sz w:val="32"/>
          <w:szCs w:val="32"/>
        </w:rPr>
        <w:t>三公</w:t>
      </w:r>
      <w:r>
        <w:rPr>
          <w:rFonts w:ascii="黑体" w:eastAsia="黑体" w:hAnsi="黑体" w:cs="Times New Roman"/>
          <w:sz w:val="32"/>
          <w:szCs w:val="32"/>
        </w:rPr>
        <w:t>”</w:t>
      </w:r>
      <w:r>
        <w:rPr>
          <w:rFonts w:ascii="黑体" w:eastAsia="黑体" w:hAnsi="黑体" w:cs="Times New Roman" w:hint="eastAsia"/>
          <w:sz w:val="32"/>
          <w:szCs w:val="32"/>
        </w:rPr>
        <w:t>经费预算情况及增减变化原因</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2019</w:t>
      </w:r>
      <w:r>
        <w:rPr>
          <w:rFonts w:ascii="Times New Roman" w:eastAsia="仿宋" w:hAnsi="Times New Roman" w:cs="Times New Roman" w:hint="eastAsia"/>
          <w:sz w:val="32"/>
          <w:szCs w:val="32"/>
        </w:rPr>
        <w:t>年，我部门财政拨款“三公”经费预算安排</w:t>
      </w:r>
      <w:r>
        <w:rPr>
          <w:rFonts w:ascii="Times New Roman" w:eastAsia="仿宋" w:hAnsi="Times New Roman" w:cs="Times New Roman" w:hint="eastAsia"/>
          <w:sz w:val="32"/>
          <w:szCs w:val="32"/>
        </w:rPr>
        <w:t>21.3</w:t>
      </w:r>
      <w:r>
        <w:rPr>
          <w:rFonts w:ascii="Times New Roman" w:eastAsia="仿宋" w:hAnsi="Times New Roman" w:cs="Times New Roman" w:hint="eastAsia"/>
          <w:sz w:val="32"/>
          <w:szCs w:val="32"/>
        </w:rPr>
        <w:t>万元，其中：</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因公出国（境）费</w:t>
      </w:r>
      <w:r>
        <w:rPr>
          <w:rFonts w:ascii="Times New Roman" w:eastAsia="仿宋" w:hAnsi="Times New Roman" w:cs="Times New Roman" w:hint="eastAsia"/>
          <w:sz w:val="32"/>
          <w:szCs w:val="32"/>
        </w:rPr>
        <w:t>0</w:t>
      </w:r>
      <w:r>
        <w:rPr>
          <w:rFonts w:ascii="Times New Roman" w:eastAsia="仿宋" w:hAnsi="Times New Roman" w:cs="Times New Roman" w:hint="eastAsia"/>
          <w:sz w:val="32"/>
          <w:szCs w:val="32"/>
        </w:rPr>
        <w:t>万元，较上年持平，无增减变化；</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公务用车购置及运维费</w:t>
      </w:r>
      <w:r>
        <w:rPr>
          <w:rFonts w:ascii="Times New Roman" w:eastAsia="仿宋" w:hAnsi="Times New Roman" w:cs="Times New Roman" w:hint="eastAsia"/>
          <w:sz w:val="32"/>
          <w:szCs w:val="32"/>
        </w:rPr>
        <w:t>20</w:t>
      </w:r>
      <w:r>
        <w:rPr>
          <w:rFonts w:ascii="Times New Roman" w:eastAsia="仿宋" w:hAnsi="Times New Roman" w:cs="Times New Roman" w:hint="eastAsia"/>
          <w:sz w:val="32"/>
          <w:szCs w:val="32"/>
        </w:rPr>
        <w:t>万元</w:t>
      </w:r>
      <w:r>
        <w:rPr>
          <w:rFonts w:ascii="Times New Roman" w:eastAsia="仿宋" w:hAnsi="Times New Roman" w:cs="Times New Roman" w:hint="eastAsia"/>
          <w:sz w:val="32"/>
          <w:szCs w:val="32"/>
        </w:rPr>
        <w:t>。</w:t>
      </w:r>
      <w:r w:rsidR="00B71956">
        <w:rPr>
          <w:rFonts w:ascii="Times New Roman" w:eastAsia="仿宋" w:hAnsi="Times New Roman" w:cs="Times New Roman" w:hint="eastAsia"/>
          <w:sz w:val="32"/>
          <w:szCs w:val="32"/>
        </w:rPr>
        <w:t>较上年持平，无增减变化</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其中：公务用车购置费</w:t>
      </w:r>
      <w:r>
        <w:rPr>
          <w:rFonts w:ascii="Times New Roman" w:eastAsia="仿宋" w:hAnsi="Times New Roman" w:cs="Times New Roman" w:hint="eastAsia"/>
          <w:sz w:val="32"/>
          <w:szCs w:val="32"/>
        </w:rPr>
        <w:t>0</w:t>
      </w:r>
      <w:r>
        <w:rPr>
          <w:rFonts w:ascii="Times New Roman" w:eastAsia="仿宋" w:hAnsi="Times New Roman" w:cs="Times New Roman" w:hint="eastAsia"/>
          <w:sz w:val="32"/>
          <w:szCs w:val="32"/>
        </w:rPr>
        <w:t>万元，较上年无变化；公务用车运行维护费</w:t>
      </w:r>
      <w:r>
        <w:rPr>
          <w:rFonts w:ascii="Times New Roman" w:eastAsia="仿宋" w:hAnsi="Times New Roman" w:cs="Times New Roman" w:hint="eastAsia"/>
          <w:sz w:val="32"/>
          <w:szCs w:val="32"/>
        </w:rPr>
        <w:t>20</w:t>
      </w:r>
      <w:r>
        <w:rPr>
          <w:rFonts w:ascii="Times New Roman" w:eastAsia="仿宋" w:hAnsi="Times New Roman" w:cs="Times New Roman" w:hint="eastAsia"/>
          <w:sz w:val="32"/>
          <w:szCs w:val="32"/>
        </w:rPr>
        <w:t>万元，主要是因为</w:t>
      </w:r>
      <w:r>
        <w:rPr>
          <w:rFonts w:ascii="Times New Roman" w:eastAsia="仿宋" w:hAnsi="Times New Roman" w:cs="Times New Roman" w:hint="eastAsia"/>
          <w:sz w:val="32"/>
          <w:szCs w:val="32"/>
        </w:rPr>
        <w:t>加强和规范了公务用车的使用，运行维护费得到了压缩</w:t>
      </w:r>
      <w:r>
        <w:rPr>
          <w:rFonts w:ascii="Times New Roman" w:eastAsia="仿宋" w:hAnsi="Times New Roman" w:cs="Times New Roman" w:hint="eastAsia"/>
          <w:sz w:val="32"/>
          <w:szCs w:val="32"/>
        </w:rPr>
        <w:t>，今年根据实际情况进行了调整</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w:t>
      </w:r>
    </w:p>
    <w:p w:rsidR="00AB7507" w:rsidRDefault="00C91E0D">
      <w:pPr>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公务接待费</w:t>
      </w:r>
      <w:r>
        <w:rPr>
          <w:rFonts w:ascii="Times New Roman" w:eastAsia="仿宋" w:hAnsi="Times New Roman" w:cs="Times New Roman" w:hint="eastAsia"/>
          <w:sz w:val="32"/>
          <w:szCs w:val="32"/>
        </w:rPr>
        <w:t>1.3</w:t>
      </w:r>
      <w:r>
        <w:rPr>
          <w:rFonts w:ascii="Times New Roman" w:eastAsia="仿宋" w:hAnsi="Times New Roman" w:cs="Times New Roman" w:hint="eastAsia"/>
          <w:sz w:val="32"/>
          <w:szCs w:val="32"/>
        </w:rPr>
        <w:t>万元，较上年持平，无增减变化。</w:t>
      </w:r>
    </w:p>
    <w:p w:rsidR="00AB7507" w:rsidRDefault="00C91E0D">
      <w:pPr>
        <w:autoSpaceDE w:val="0"/>
        <w:autoSpaceDN w:val="0"/>
        <w:adjustRightInd w:val="0"/>
        <w:ind w:left="198" w:firstLineChars="200" w:firstLine="640"/>
        <w:jc w:val="left"/>
        <w:rPr>
          <w:rFonts w:ascii="黑体" w:eastAsia="黑体" w:hAnsi="黑体" w:cs="Times New Roman"/>
          <w:sz w:val="32"/>
          <w:szCs w:val="32"/>
        </w:rPr>
      </w:pPr>
      <w:r>
        <w:rPr>
          <w:rFonts w:ascii="黑体" w:eastAsia="黑体" w:hAnsi="黑体" w:cs="Times New Roman" w:hint="eastAsia"/>
          <w:sz w:val="32"/>
          <w:szCs w:val="32"/>
        </w:rPr>
        <w:t>五、绩效预算信息</w:t>
      </w:r>
    </w:p>
    <w:p w:rsidR="00AB7507" w:rsidRDefault="00C91E0D">
      <w:pPr>
        <w:autoSpaceDE w:val="0"/>
        <w:autoSpaceDN w:val="0"/>
        <w:adjustRightInd w:val="0"/>
        <w:ind w:left="198" w:firstLineChars="200" w:firstLine="643"/>
        <w:jc w:val="left"/>
        <w:rPr>
          <w:rFonts w:ascii="Times New Roman" w:eastAsia="仿宋" w:hAnsi="Times New Roman" w:cs="Times New Roman"/>
          <w:b/>
          <w:sz w:val="32"/>
          <w:szCs w:val="32"/>
        </w:rPr>
      </w:pPr>
      <w:bookmarkStart w:id="4" w:name="_Toc471398463"/>
      <w:r>
        <w:rPr>
          <w:rFonts w:ascii="Times New Roman" w:eastAsia="仿宋" w:hAnsi="Times New Roman" w:cs="Times New Roman"/>
          <w:b/>
          <w:sz w:val="32"/>
          <w:szCs w:val="32"/>
        </w:rPr>
        <w:t>总体绩效目标：</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201</w:t>
      </w:r>
      <w:r>
        <w:rPr>
          <w:rFonts w:ascii="Times New Roman" w:eastAsia="仿宋" w:hAnsi="Times New Roman" w:cs="Times New Roman" w:hint="eastAsia"/>
          <w:sz w:val="32"/>
          <w:szCs w:val="32"/>
        </w:rPr>
        <w:t>9</w:t>
      </w:r>
      <w:r>
        <w:rPr>
          <w:rFonts w:ascii="Times New Roman" w:eastAsia="仿宋" w:hAnsi="Times New Roman" w:cs="Times New Roman" w:hint="eastAsia"/>
          <w:sz w:val="32"/>
          <w:szCs w:val="32"/>
        </w:rPr>
        <w:t>年的总体目标是：切实强化法律监督、强化自身监督、强化队伍建设，着力提升司法能力，规范司法行为，依法全面履职，不断提升检察工作水平，为全县各项事业发展提供更加有力的司法保障。</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服务大局要有新成效。认真谋划服务大局的落脚点和切入点。一是依法严惩破坏市场经济秩序犯罪，平等保护各类市场主体的合法权益，依法办理涉及改善民生、统筹城乡发展、产业转型升级、新型城镇化建设、农业和农村经济发展、生产安全和环境资源等领域发生的犯罪案件。二是完善和落实检察机关服务大局的措施，从依法维护枣强经济发展秩序，充分发挥打击、监督、教育、保护等职能作用，不断提高服务大局的能力和水平，为经济社会又好又快发展提供有力的司法保障。</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 xml:space="preserve">　　</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、司法办案取得新突破。一是严厉打击刑事犯罪。严格履行侦查监督、审查起诉法定</w:t>
      </w:r>
      <w:r>
        <w:rPr>
          <w:rFonts w:ascii="Times New Roman" w:eastAsia="仿宋" w:hAnsi="Times New Roman" w:cs="Times New Roman" w:hint="eastAsia"/>
          <w:sz w:val="32"/>
          <w:szCs w:val="32"/>
        </w:rPr>
        <w:t>职责，坚持证据裁判原则，重点打击严重暴力、黑恶势力、毒品、多发性侵财等严重危害社会安定、破坏社会秩序的犯罪活动；积极参与社会治安综合治理，依法强化危害食品药品安全、影响安全生产、损害生态环境等重点问题治理，妥善化解潜在的矛盾纠纷，提升人民群众的安全感。二是着力加强</w:t>
      </w:r>
      <w:r>
        <w:rPr>
          <w:rFonts w:ascii="Times New Roman" w:eastAsia="仿宋" w:hAnsi="Times New Roman" w:cs="Times New Roman" w:hint="eastAsia"/>
          <w:sz w:val="32"/>
          <w:szCs w:val="32"/>
        </w:rPr>
        <w:lastRenderedPageBreak/>
        <w:t>诉讼监督工作。认真贯彻执行修改后的刑事、民事、行政三大诉讼法，加强对刑事诉讼、民事诉讼、行政诉讼的法律监督，强化监督措施，突出监督重点，提升监督实效，严防司法不公、不严、不廉问题。</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、队伍建设要有新面貌。一是狠抓思想政治建设。深入开展“解放思想、</w:t>
      </w:r>
      <w:r>
        <w:rPr>
          <w:rFonts w:ascii="Times New Roman" w:eastAsia="仿宋" w:hAnsi="Times New Roman" w:cs="Times New Roman" w:hint="eastAsia"/>
          <w:sz w:val="32"/>
          <w:szCs w:val="32"/>
        </w:rPr>
        <w:t>抢抓机遇、奋发作为、协同发展”大讨论活动，切实把思想统一到“八破八立”要求上来，做到立行立改，知行合一，确保大讨论活动取得实效。不断深化理想信念教育，通过举行检察官宣誓、学唱红色歌曲、阅读红色书籍等，激发干警弘扬革命优良传统，积极投身检察事业的工作热情；通过组织开展检察官进企业搞共建、进社区搞服务、进农村办实事、进学校送法律“四进”活动，增强干警“公正司法、执法为民”思想意识。二是狠抓纪律作风建设。坚持从严治检，坚决维护政治纪律和政治规矩，严格执行各项工作和办案纪律，，强化问责追究，深化“两个责任”落实，深</w:t>
      </w:r>
      <w:r>
        <w:rPr>
          <w:rFonts w:ascii="Times New Roman" w:eastAsia="仿宋" w:hAnsi="Times New Roman" w:cs="Times New Roman" w:hint="eastAsia"/>
          <w:sz w:val="32"/>
          <w:szCs w:val="32"/>
        </w:rPr>
        <w:t>入推进党风廉政建设和自身反腐败工作。深入开展“三严三实”专题教育，持续整治“四风”，树立检察良好形象。三是狠抓业务能力建设。通过“每周一讲、每人一课”、庭审观摩、业务技能竞赛等活动，不断提高干警的岗位履职能力。积极参加上级院开展的各项业务培训，鼓励干警参加司法考试、在职学历提高等，着力培养一批业务精、能力强的复合型人才。</w:t>
      </w:r>
    </w:p>
    <w:p w:rsidR="00AB7507" w:rsidRDefault="00C91E0D">
      <w:pPr>
        <w:autoSpaceDE w:val="0"/>
        <w:autoSpaceDN w:val="0"/>
        <w:adjustRightInd w:val="0"/>
        <w:ind w:left="198" w:firstLineChars="200" w:firstLine="643"/>
        <w:jc w:val="left"/>
        <w:rPr>
          <w:rFonts w:ascii="Times New Roman" w:eastAsia="仿宋" w:hAnsi="Times New Roman" w:cs="Times New Roman"/>
          <w:b/>
          <w:sz w:val="32"/>
          <w:szCs w:val="32"/>
        </w:rPr>
      </w:pPr>
      <w:r>
        <w:rPr>
          <w:rFonts w:ascii="Times New Roman" w:eastAsia="仿宋" w:hAnsi="Times New Roman" w:cs="Times New Roman" w:hint="eastAsia"/>
          <w:b/>
          <w:sz w:val="32"/>
          <w:szCs w:val="32"/>
        </w:rPr>
        <w:t>职责分类绩效目标：</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1</w:t>
      </w:r>
      <w:r>
        <w:rPr>
          <w:rFonts w:ascii="Times New Roman" w:eastAsia="仿宋" w:hAnsi="Times New Roman" w:cs="Times New Roman" w:hint="eastAsia"/>
          <w:sz w:val="32"/>
          <w:szCs w:val="32"/>
        </w:rPr>
        <w:t>、坚持宽严相济，严厉打击刑事犯罪，在促进和谐稳定上有新作为</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始终把促进社会和谐稳定作为检察机关的首要任务，坚持“严打”方针，贯彻“宽严相济”刑事政策，在推进“平安枣强</w:t>
      </w:r>
      <w:r>
        <w:rPr>
          <w:rFonts w:ascii="Times New Roman" w:eastAsia="仿宋" w:hAnsi="Times New Roman" w:cs="Times New Roman" w:hint="eastAsia"/>
          <w:sz w:val="32"/>
          <w:szCs w:val="32"/>
        </w:rPr>
        <w:t>”建设中强担当，抓落实。</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突出重点，依法打击刑事犯罪。充分履行批捕、起诉职责，积极参与打黑除恶、惩治“两抢一盗”、扫黄打非等专项斗争，突出打击严重影响社会稳定和人民群众安全的黑恶势力犯罪、严重暴力犯罪和多发性侵财犯罪。有力的震慑犯罪，增强了人民群众的安全感。</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促进和谐，依法化解社会矛盾。认真落实“宽严相济”刑事政策，减少社会对抗、修复社会关系。畅通群众控告申诉渠道，大力开展检察长接待、下访巡访、预约接访、视频接访等工作，解决群众合法诉求，维护群众合法权益，。按照省政法委《关于依法处理信访活动中有关违法犯罪行</w:t>
      </w:r>
      <w:r>
        <w:rPr>
          <w:rFonts w:ascii="Times New Roman" w:eastAsia="仿宋" w:hAnsi="Times New Roman" w:cs="Times New Roman" w:hint="eastAsia"/>
          <w:sz w:val="32"/>
          <w:szCs w:val="32"/>
        </w:rPr>
        <w:t>为的指导意见》，加强与有关部门的协调沟通，严厉打击非访行为。</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、坚持统筹兼顾，强化诉讼活动监督，在促进公平正义上有新提高</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始终把促进公平正义作为检察机关的永恒主题，捍卫法治，做到敢于监督、善于监督、依法监督、规范监督，在推进“法治枣强”建设中聚能量，显作为。</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强化刑事诉讼监督。加强对侦查机关有案不立、有罪不究、不该立案而立案以及侦查行为不规范等问题的监督。</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强化民事行政诉讼监督。认真落实修改后民事诉讼法的新规定，积极构建诉讼程序、诉讼结果和执行程序“三位一体”的多元化监督格局。</w:t>
      </w:r>
    </w:p>
    <w:p w:rsidR="00AB7507" w:rsidRDefault="00C91E0D">
      <w:pPr>
        <w:autoSpaceDE w:val="0"/>
        <w:autoSpaceDN w:val="0"/>
        <w:adjustRightInd w:val="0"/>
        <w:ind w:left="198" w:firstLineChars="200" w:firstLine="64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、坚持内外监督，切实加强</w:t>
      </w:r>
      <w:r>
        <w:rPr>
          <w:rFonts w:ascii="Times New Roman" w:eastAsia="仿宋" w:hAnsi="Times New Roman" w:cs="Times New Roman" w:hint="eastAsia"/>
          <w:sz w:val="32"/>
          <w:szCs w:val="32"/>
        </w:rPr>
        <w:t>队伍建设，在促进素能提升上有新成效始终把促进队伍素能提升作为检察工作的根本保障，严明纪律规矩，强化教育管理，在推进检察事业发展中强筋骨，筑根基。</w:t>
      </w:r>
    </w:p>
    <w:p w:rsidR="00AB7507" w:rsidRDefault="00AB7507">
      <w:pPr>
        <w:ind w:firstLine="640"/>
        <w:rPr>
          <w:rFonts w:ascii="Times New Roman" w:eastAsia="仿宋" w:hAnsi="Times New Roman" w:cs="Times New Roman"/>
          <w:sz w:val="32"/>
          <w:szCs w:val="32"/>
        </w:rPr>
      </w:pPr>
    </w:p>
    <w:p w:rsidR="00AB7507" w:rsidRDefault="00AB7507">
      <w:pPr>
        <w:ind w:firstLine="640"/>
        <w:rPr>
          <w:rFonts w:ascii="Times New Roman" w:eastAsia="仿宋" w:hAnsi="Times New Roman" w:cs="Times New Roman"/>
          <w:sz w:val="32"/>
          <w:szCs w:val="32"/>
        </w:rPr>
      </w:pPr>
    </w:p>
    <w:p w:rsidR="00AB7507" w:rsidRDefault="00C91E0D">
      <w:pPr>
        <w:autoSpaceDE w:val="0"/>
        <w:autoSpaceDN w:val="0"/>
        <w:adjustRightInd w:val="0"/>
        <w:ind w:left="198" w:firstLineChars="200" w:firstLine="643"/>
        <w:jc w:val="left"/>
        <w:rPr>
          <w:rFonts w:ascii="Times New Roman" w:eastAsia="仿宋" w:hAnsi="Times New Roman" w:cs="Times New Roman"/>
          <w:b/>
          <w:sz w:val="32"/>
          <w:szCs w:val="32"/>
        </w:rPr>
      </w:pPr>
      <w:r>
        <w:rPr>
          <w:rFonts w:ascii="Times New Roman" w:eastAsia="仿宋" w:hAnsi="Times New Roman" w:cs="Times New Roman" w:hint="eastAsia"/>
          <w:b/>
          <w:sz w:val="32"/>
          <w:szCs w:val="32"/>
        </w:rPr>
        <w:t>部门职责及工作活动绩效目标指标：</w:t>
      </w:r>
      <w:bookmarkEnd w:id="4"/>
    </w:p>
    <w:p w:rsidR="00AB7507" w:rsidRDefault="00C91E0D">
      <w:pPr>
        <w:jc w:val="center"/>
        <w:outlineLvl w:val="0"/>
        <w:rPr>
          <w:rFonts w:ascii="方正小标宋_GBK" w:eastAsia="方正小标宋_GBK"/>
          <w:color w:val="FFFFFF"/>
          <w:sz w:val="32"/>
          <w:highlight w:val="yellow"/>
        </w:rPr>
      </w:pPr>
      <w:bookmarkStart w:id="5" w:name="_Toc535499610"/>
      <w:r>
        <w:rPr>
          <w:rFonts w:ascii="方正小标宋_GBK" w:eastAsia="方正小标宋_GBK" w:hint="eastAsia"/>
          <w:sz w:val="32"/>
        </w:rPr>
        <w:t>部门职责</w:t>
      </w:r>
      <w:r>
        <w:rPr>
          <w:rFonts w:ascii="方正小标宋_GBK" w:eastAsia="方正小标宋_GBK" w:hint="eastAsia"/>
          <w:sz w:val="32"/>
        </w:rPr>
        <w:t>-</w:t>
      </w:r>
      <w:r>
        <w:rPr>
          <w:rFonts w:ascii="方正小标宋_GBK" w:eastAsia="方正小标宋_GBK" w:hint="eastAsia"/>
          <w:sz w:val="32"/>
        </w:rPr>
        <w:t>工作活动绩效目标</w:t>
      </w:r>
      <w:r>
        <w:rPr>
          <w:rStyle w:val="a7"/>
          <w:rFonts w:ascii="方正小标宋_GBK" w:eastAsia="方正小标宋_GBK"/>
          <w:color w:val="FFFFFF"/>
          <w:sz w:val="32"/>
        </w:rPr>
        <w:footnoteReference w:customMarkFollows="1" w:id="2"/>
        <w:sym w:font="Symbol" w:char="F020"/>
      </w:r>
      <w:bookmarkEnd w:id="5"/>
    </w:p>
    <w:tbl>
      <w:tblPr>
        <w:tblW w:w="1393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341"/>
        <w:gridCol w:w="1276"/>
        <w:gridCol w:w="2976"/>
        <w:gridCol w:w="2976"/>
        <w:gridCol w:w="1417"/>
        <w:gridCol w:w="737"/>
        <w:gridCol w:w="737"/>
        <w:gridCol w:w="737"/>
        <w:gridCol w:w="737"/>
      </w:tblGrid>
      <w:tr w:rsidR="00AB7507">
        <w:trPr>
          <w:trHeight w:val="227"/>
          <w:tblHeader/>
          <w:jc w:val="center"/>
        </w:trPr>
        <w:tc>
          <w:tcPr>
            <w:tcW w:w="10986" w:type="dxa"/>
            <w:gridSpan w:val="5"/>
            <w:tcBorders>
              <w:top w:val="single" w:sz="6" w:space="0" w:color="FFFFFF"/>
              <w:left w:val="single" w:sz="6" w:space="0" w:color="FFFFFF"/>
              <w:right w:val="single" w:sz="6" w:space="0" w:color="FFFFFF"/>
            </w:tcBorders>
            <w:shd w:val="clear" w:color="auto" w:fill="auto"/>
            <w:vAlign w:val="center"/>
          </w:tcPr>
          <w:p w:rsidR="00AB7507" w:rsidRDefault="00C91E0D">
            <w:pPr>
              <w:spacing w:line="300" w:lineRule="exact"/>
              <w:jc w:val="left"/>
              <w:rPr>
                <w:rFonts w:ascii="方正小标宋_GBK" w:eastAsia="方正小标宋_GBK"/>
                <w:sz w:val="24"/>
              </w:rPr>
            </w:pPr>
            <w:r>
              <w:rPr>
                <w:rFonts w:ascii="方正小标宋_GBK" w:eastAsia="方正小标宋_GBK"/>
                <w:sz w:val="24"/>
              </w:rPr>
              <w:t>151</w:t>
            </w:r>
            <w:r>
              <w:rPr>
                <w:rFonts w:ascii="方正小标宋_GBK" w:eastAsia="方正小标宋_GBK" w:hint="eastAsia"/>
                <w:sz w:val="24"/>
              </w:rPr>
              <w:t>枣强县人民检察院</w:t>
            </w:r>
          </w:p>
        </w:tc>
        <w:tc>
          <w:tcPr>
            <w:tcW w:w="2948" w:type="dxa"/>
            <w:gridSpan w:val="4"/>
            <w:tcBorders>
              <w:top w:val="single" w:sz="6" w:space="0" w:color="FFFFFF"/>
              <w:left w:val="single" w:sz="6" w:space="0" w:color="FFFFFF"/>
              <w:right w:val="single" w:sz="6" w:space="0" w:color="FFFFFF"/>
            </w:tcBorders>
            <w:shd w:val="clear" w:color="auto" w:fill="auto"/>
            <w:vAlign w:val="center"/>
          </w:tcPr>
          <w:p w:rsidR="00AB7507" w:rsidRDefault="00C91E0D">
            <w:pPr>
              <w:spacing w:line="300" w:lineRule="exact"/>
              <w:jc w:val="right"/>
              <w:rPr>
                <w:rFonts w:ascii="方正书宋_GBK" w:eastAsia="方正书宋_GBK"/>
                <w:sz w:val="24"/>
              </w:rPr>
            </w:pPr>
            <w:r>
              <w:rPr>
                <w:rFonts w:ascii="方正书宋_GBK" w:eastAsia="方正书宋_GBK" w:hint="eastAsia"/>
                <w:sz w:val="24"/>
              </w:rPr>
              <w:t>单位：元</w:t>
            </w:r>
          </w:p>
        </w:tc>
      </w:tr>
      <w:tr w:rsidR="00AB7507">
        <w:trPr>
          <w:trHeight w:val="227"/>
          <w:tblHeader/>
          <w:jc w:val="center"/>
        </w:trPr>
        <w:tc>
          <w:tcPr>
            <w:tcW w:w="2341" w:type="dxa"/>
            <w:vMerge w:val="restart"/>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职责活动</w:t>
            </w:r>
          </w:p>
        </w:tc>
        <w:tc>
          <w:tcPr>
            <w:tcW w:w="1276" w:type="dxa"/>
            <w:vMerge w:val="restart"/>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年度预算数</w:t>
            </w:r>
          </w:p>
        </w:tc>
        <w:tc>
          <w:tcPr>
            <w:tcW w:w="2976" w:type="dxa"/>
            <w:vMerge w:val="restart"/>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内容描述</w:t>
            </w:r>
          </w:p>
        </w:tc>
        <w:tc>
          <w:tcPr>
            <w:tcW w:w="2976" w:type="dxa"/>
            <w:vMerge w:val="restart"/>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绩效目标</w:t>
            </w:r>
          </w:p>
        </w:tc>
        <w:tc>
          <w:tcPr>
            <w:tcW w:w="1417" w:type="dxa"/>
            <w:vMerge w:val="restart"/>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绩效指标</w:t>
            </w:r>
          </w:p>
        </w:tc>
        <w:tc>
          <w:tcPr>
            <w:tcW w:w="2948" w:type="dxa"/>
            <w:gridSpan w:val="4"/>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评价标准</w:t>
            </w:r>
          </w:p>
        </w:tc>
      </w:tr>
      <w:tr w:rsidR="00AB7507">
        <w:trPr>
          <w:trHeight w:val="227"/>
          <w:tblHeader/>
          <w:jc w:val="center"/>
        </w:trPr>
        <w:tc>
          <w:tcPr>
            <w:tcW w:w="2341" w:type="dxa"/>
            <w:vMerge/>
            <w:shd w:val="clear" w:color="auto" w:fill="auto"/>
            <w:vAlign w:val="center"/>
          </w:tcPr>
          <w:p w:rsidR="00AB7507" w:rsidRDefault="00AB7507">
            <w:pPr>
              <w:spacing w:line="300" w:lineRule="exact"/>
              <w:jc w:val="left"/>
              <w:outlineLvl w:val="0"/>
            </w:pPr>
          </w:p>
        </w:tc>
        <w:tc>
          <w:tcPr>
            <w:tcW w:w="1276" w:type="dxa"/>
            <w:vMerge/>
            <w:shd w:val="clear" w:color="auto" w:fill="auto"/>
            <w:vAlign w:val="center"/>
          </w:tcPr>
          <w:p w:rsidR="00AB7507" w:rsidRDefault="00AB7507">
            <w:pPr>
              <w:spacing w:line="300" w:lineRule="exact"/>
              <w:jc w:val="left"/>
              <w:outlineLvl w:val="0"/>
            </w:pPr>
          </w:p>
        </w:tc>
        <w:tc>
          <w:tcPr>
            <w:tcW w:w="2976" w:type="dxa"/>
            <w:vMerge/>
            <w:shd w:val="clear" w:color="auto" w:fill="auto"/>
            <w:vAlign w:val="center"/>
          </w:tcPr>
          <w:p w:rsidR="00AB7507" w:rsidRDefault="00AB7507">
            <w:pPr>
              <w:spacing w:line="300" w:lineRule="exact"/>
              <w:jc w:val="left"/>
              <w:outlineLvl w:val="0"/>
            </w:pPr>
          </w:p>
        </w:tc>
        <w:tc>
          <w:tcPr>
            <w:tcW w:w="2976" w:type="dxa"/>
            <w:vMerge/>
            <w:shd w:val="clear" w:color="auto" w:fill="auto"/>
            <w:vAlign w:val="center"/>
          </w:tcPr>
          <w:p w:rsidR="00AB7507" w:rsidRDefault="00AB7507">
            <w:pPr>
              <w:spacing w:line="300" w:lineRule="exact"/>
              <w:jc w:val="left"/>
              <w:outlineLvl w:val="0"/>
            </w:pPr>
          </w:p>
        </w:tc>
        <w:tc>
          <w:tcPr>
            <w:tcW w:w="1417" w:type="dxa"/>
            <w:vMerge/>
            <w:shd w:val="clear" w:color="auto" w:fill="auto"/>
            <w:vAlign w:val="center"/>
          </w:tcPr>
          <w:p w:rsidR="00AB7507" w:rsidRDefault="00AB7507">
            <w:pPr>
              <w:spacing w:line="300" w:lineRule="exact"/>
              <w:jc w:val="left"/>
              <w:outlineLvl w:val="0"/>
            </w:pPr>
          </w:p>
        </w:tc>
        <w:tc>
          <w:tcPr>
            <w:tcW w:w="737" w:type="dxa"/>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优</w:t>
            </w:r>
          </w:p>
        </w:tc>
        <w:tc>
          <w:tcPr>
            <w:tcW w:w="737" w:type="dxa"/>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良</w:t>
            </w:r>
          </w:p>
        </w:tc>
        <w:tc>
          <w:tcPr>
            <w:tcW w:w="737" w:type="dxa"/>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中</w:t>
            </w:r>
          </w:p>
        </w:tc>
        <w:tc>
          <w:tcPr>
            <w:tcW w:w="737" w:type="dxa"/>
            <w:shd w:val="clear" w:color="auto" w:fill="auto"/>
            <w:vAlign w:val="center"/>
          </w:tcPr>
          <w:p w:rsidR="00AB7507" w:rsidRDefault="00C91E0D">
            <w:pPr>
              <w:spacing w:line="300" w:lineRule="exact"/>
              <w:jc w:val="center"/>
              <w:rPr>
                <w:rFonts w:ascii="方正书宋_GBK" w:eastAsia="方正书宋_GBK"/>
                <w:b/>
              </w:rPr>
            </w:pPr>
            <w:r>
              <w:rPr>
                <w:rFonts w:ascii="方正书宋_GBK" w:eastAsia="方正书宋_GBK" w:hint="eastAsia"/>
                <w:b/>
              </w:rPr>
              <w:t>差</w:t>
            </w:r>
          </w:p>
        </w:tc>
      </w:tr>
      <w:tr w:rsidR="00AB7507">
        <w:trPr>
          <w:trHeight w:val="945"/>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一、查办和预防职务犯罪</w:t>
            </w:r>
          </w:p>
        </w:tc>
        <w:tc>
          <w:tcPr>
            <w:tcW w:w="1276" w:type="dxa"/>
            <w:shd w:val="clear" w:color="auto" w:fill="auto"/>
            <w:vAlign w:val="center"/>
          </w:tcPr>
          <w:p w:rsidR="00AB7507" w:rsidRDefault="00AB7507">
            <w:pPr>
              <w:spacing w:line="300" w:lineRule="exact"/>
              <w:jc w:val="left"/>
              <w:rPr>
                <w:rFonts w:ascii="方正书宋_GBK" w:eastAsia="方正书宋_GBK"/>
              </w:rPr>
            </w:pP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通过查办和预防职务犯罪案件，促进国家工作人员依法行使职权。</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有效预防和依法严惩职务犯罪。</w:t>
            </w:r>
          </w:p>
        </w:tc>
        <w:tc>
          <w:tcPr>
            <w:tcW w:w="1417" w:type="dxa"/>
            <w:shd w:val="clear" w:color="auto" w:fill="auto"/>
            <w:vAlign w:val="center"/>
          </w:tcPr>
          <w:p w:rsidR="00AB7507" w:rsidRDefault="00AB7507">
            <w:pPr>
              <w:spacing w:line="300" w:lineRule="exact"/>
              <w:jc w:val="left"/>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1</w:t>
            </w:r>
            <w:r>
              <w:rPr>
                <w:rFonts w:ascii="方正书宋_GBK" w:eastAsia="方正书宋_GBK" w:hint="eastAsia"/>
                <w:b/>
              </w:rPr>
              <w:t>、查办职务犯罪</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组织指挥或参与办理重大职务犯罪案件的侦查及个案协查工作；分析全省职务犯罪的特点和规律，提出对策；承办下级检察院反贪反渎工作中重大、疑难问题请示；研究制定全省</w:t>
            </w:r>
            <w:r>
              <w:rPr>
                <w:rFonts w:ascii="方正书宋_GBK" w:eastAsia="方正书宋_GBK" w:hint="eastAsia"/>
              </w:rPr>
              <w:lastRenderedPageBreak/>
              <w:t>反贪反渎检察业务工作细则、规定；指导全省在逃职务犯罪案件追逃追赃工作，推进全省侦查信息化和装备现代化建设。</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lastRenderedPageBreak/>
              <w:t>使我县查办贪污贿赂犯罪和渎职侵权犯罪案件工作在全市检察系统位于先进行列</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查办大要案比率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&lt;35%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案件侦结率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&lt;55%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查办全县贪污贿赂犯罪</w:t>
            </w:r>
            <w:r>
              <w:rPr>
                <w:rFonts w:ascii="方正书宋_GBK" w:eastAsia="方正书宋_GBK" w:hint="eastAsia"/>
              </w:rPr>
              <w:lastRenderedPageBreak/>
              <w:t>和渎职侵权案件的比例</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&lt;80%</w:t>
            </w: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lastRenderedPageBreak/>
              <w:t xml:space="preserve">　　</w:t>
            </w:r>
            <w:r>
              <w:rPr>
                <w:rFonts w:ascii="方正书宋_GBK" w:eastAsia="方正书宋_GBK"/>
                <w:b/>
              </w:rPr>
              <w:t>2</w:t>
            </w:r>
            <w:r>
              <w:rPr>
                <w:rFonts w:ascii="方正书宋_GBK" w:eastAsia="方正书宋_GBK" w:hint="eastAsia"/>
                <w:b/>
              </w:rPr>
              <w:t>、预防职务犯罪</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履行检察机关重要的法律监督职能，采取多种方式，预防可能发生的职务犯罪。</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以个案预防、系统预防、专项预防、预防调查等多种形式努力从源头上遏制和减少职务犯罪。</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对职务犯罪了解度</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&lt;90%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预防服务和教育次数</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3</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2</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&lt;2</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行贿犯罪档案查询次数</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3</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2</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&lt;2</w:t>
            </w:r>
          </w:p>
        </w:tc>
      </w:tr>
      <w:tr w:rsidR="00AB7507">
        <w:trPr>
          <w:trHeight w:val="227"/>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二、检察监督</w:t>
            </w:r>
          </w:p>
        </w:tc>
        <w:tc>
          <w:tcPr>
            <w:tcW w:w="12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10000000</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对侦查机关的侦查活动、人民法院的审判活动、看守所等机关执行刑罚的活动，依法实行法律监督，维护司法公正。</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通过行使检察权，惩罚犯罪活动，保护国家安全，保护公民、法人和其他组织的合法权益，保障国家法律的正确实施。</w:t>
            </w:r>
          </w:p>
        </w:tc>
        <w:tc>
          <w:tcPr>
            <w:tcW w:w="1417" w:type="dxa"/>
            <w:shd w:val="clear" w:color="auto" w:fill="auto"/>
            <w:vAlign w:val="center"/>
          </w:tcPr>
          <w:p w:rsidR="00AB7507" w:rsidRDefault="00AB7507">
            <w:pPr>
              <w:spacing w:line="300" w:lineRule="exact"/>
              <w:jc w:val="left"/>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1</w:t>
            </w:r>
            <w:r>
              <w:rPr>
                <w:rFonts w:ascii="方正书宋_GBK" w:eastAsia="方正书宋_GBK" w:hint="eastAsia"/>
                <w:b/>
              </w:rPr>
              <w:t>、侦查监督</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侦查监督职能的行使贯穿刑事立案到侦查终结全过程。主要包括审查逮捕、立案监督和侦查活动监督等职能。</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打击犯罪、保障人权、维护司法公正。</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批延准确率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98%</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&lt;95%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错捕、捕后撤案、不起诉、判无罪率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&gt;5%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立案和侦查活动监督完成率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&lt;70%</w:t>
            </w: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2</w:t>
            </w:r>
            <w:r>
              <w:rPr>
                <w:rFonts w:ascii="方正书宋_GBK" w:eastAsia="方正书宋_GBK" w:hint="eastAsia"/>
                <w:b/>
              </w:rPr>
              <w:t>、公诉和审判监督</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审查起诉；对上诉、抗诉案件及再审案件进行审查；出庭支持公诉</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全面审查案件事实，核实证据，依法提出审查意见，打击犯罪，保障人权，维护司法公正。</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出庭意见采纳数</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诉讼期限内审结案件占全部案件比例</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&lt;70%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办理案件数</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&lt;50</w:t>
            </w: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3</w:t>
            </w:r>
            <w:r>
              <w:rPr>
                <w:rFonts w:ascii="方正书宋_GBK" w:eastAsia="方正书宋_GBK" w:hint="eastAsia"/>
                <w:b/>
              </w:rPr>
              <w:t>、民事行政诉讼监督</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依法对民事诉讼和行政诉讼实行法律监督，维护司法公正和司法权威，保障国家法律的统一正确实施</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加大办案力度，提高办案质量。</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检察建议采纳率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不支持监督申请决定息讼息访率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&lt;30%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案件审结率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227"/>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4</w:t>
            </w:r>
            <w:r>
              <w:rPr>
                <w:rFonts w:ascii="方正书宋_GBK" w:eastAsia="方正书宋_GBK" w:hint="eastAsia"/>
                <w:b/>
              </w:rPr>
              <w:t>、刑事执行检察</w:t>
            </w:r>
          </w:p>
        </w:tc>
        <w:tc>
          <w:tcPr>
            <w:tcW w:w="1276" w:type="dxa"/>
            <w:shd w:val="clear" w:color="auto" w:fill="auto"/>
            <w:vAlign w:val="center"/>
          </w:tcPr>
          <w:p w:rsidR="00AB7507" w:rsidRDefault="00AB7507">
            <w:pPr>
              <w:spacing w:line="300" w:lineRule="exact"/>
              <w:jc w:val="left"/>
              <w:rPr>
                <w:rFonts w:ascii="方正书宋_GBK" w:eastAsia="方正书宋_GBK"/>
              </w:rPr>
            </w:pP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依法对刑罚执行、刑事强制措施执行、强制医疗执行等刑事执行活动是否合法实行法律监督，维护刑事执行公平公正，维护刑事执行场所监管秩序稳定、维护刑事被执行人合法权益、维护社会和谐稳定，保障国家法律、法规统一正确实施。</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保障刑罚执行和刑事执行活动的依法有序进行。</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纠正意见或建议的采纳率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&lt;80%</w:t>
            </w: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5</w:t>
            </w:r>
            <w:r>
              <w:rPr>
                <w:rFonts w:ascii="方正书宋_GBK" w:eastAsia="方正书宋_GBK" w:hint="eastAsia"/>
                <w:b/>
              </w:rPr>
              <w:t>、未成年人刑事检察</w:t>
            </w:r>
          </w:p>
        </w:tc>
        <w:tc>
          <w:tcPr>
            <w:tcW w:w="12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10000000</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办理全县检察机关未成年人犯罪案件的审查逮捕、审查起诉工作，依法履行立案监督、侦查活动监督、审判监督、执行监督职能；开展预防未成年人犯罪综合治理工作；依法保护刑事案件未成年被害人的合法权益。</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使我县未检在全市检察机关位于先进行列</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特殊检察制度适用率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&lt;30%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附条件不起诉率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&lt;1%</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不捕、不诉率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20%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&lt;20%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未成年人刑事案件办理率</w:t>
            </w: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案件办结率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w:t>
            </w:r>
            <w:r>
              <w:rPr>
                <w:rFonts w:ascii="方正书宋_GBK" w:eastAsia="方正书宋_GBK"/>
              </w:rPr>
              <w:t>60%</w:t>
            </w: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6</w:t>
            </w:r>
            <w:r>
              <w:rPr>
                <w:rFonts w:ascii="方正书宋_GBK" w:eastAsia="方正书宋_GBK" w:hint="eastAsia"/>
                <w:b/>
              </w:rPr>
              <w:t>、司法辅助</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保障办案安全；开展全县检察</w:t>
            </w:r>
            <w:r>
              <w:rPr>
                <w:rFonts w:ascii="方正书宋_GBK" w:eastAsia="方正书宋_GBK" w:hint="eastAsia"/>
              </w:rPr>
              <w:lastRenderedPageBreak/>
              <w:t>机关技术工作和物证检验、鉴定、审核等工作。</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lastRenderedPageBreak/>
              <w:t>加强各项检察辅助职能，为检</w:t>
            </w:r>
            <w:r>
              <w:rPr>
                <w:rFonts w:ascii="方正书宋_GBK" w:eastAsia="方正书宋_GBK" w:hint="eastAsia"/>
              </w:rPr>
              <w:lastRenderedPageBreak/>
              <w:t>察业务提供有力保障。</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lastRenderedPageBreak/>
              <w:t>法警装备购</w:t>
            </w:r>
            <w:r>
              <w:rPr>
                <w:rFonts w:ascii="方正书宋_GBK" w:eastAsia="方正书宋_GBK" w:hint="eastAsia"/>
              </w:rPr>
              <w:lastRenderedPageBreak/>
              <w:t>置率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lastRenderedPageBreak/>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lastRenderedPageBreak/>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lastRenderedPageBreak/>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lastRenderedPageBreak/>
              <w:t>&lt;60</w:t>
            </w:r>
            <w:r>
              <w:rPr>
                <w:rFonts w:ascii="方正书宋_GBK" w:eastAsia="方正书宋_GBK"/>
              </w:rPr>
              <w:lastRenderedPageBreak/>
              <w:t>%</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出警及时率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司法鉴定案件办结率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&lt;45%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出警次数</w:t>
            </w: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r>
      <w:tr w:rsidR="00AB7507">
        <w:trPr>
          <w:trHeight w:val="227"/>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三、控告和刑事申诉检察</w:t>
            </w:r>
          </w:p>
        </w:tc>
        <w:tc>
          <w:tcPr>
            <w:tcW w:w="1276" w:type="dxa"/>
            <w:shd w:val="clear" w:color="auto" w:fill="auto"/>
            <w:vAlign w:val="center"/>
          </w:tcPr>
          <w:p w:rsidR="00AB7507" w:rsidRDefault="00AB7507">
            <w:pPr>
              <w:spacing w:line="300" w:lineRule="exact"/>
              <w:jc w:val="left"/>
              <w:rPr>
                <w:rFonts w:ascii="方正书宋_GBK" w:eastAsia="方正书宋_GBK"/>
              </w:rPr>
            </w:pP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受理来信来访、举报、国家赔偿、司法救助工作，受理民事监督案件，办理县院管辖的信访、举报案件、国家赔偿、司法救助案件以及上级机关交办、转办、督办案件。</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保护公民、法人和其他单位的合法权益，促进司法公正，维护社会稳定</w:t>
            </w:r>
          </w:p>
        </w:tc>
        <w:tc>
          <w:tcPr>
            <w:tcW w:w="1417" w:type="dxa"/>
            <w:shd w:val="clear" w:color="auto" w:fill="auto"/>
            <w:vAlign w:val="center"/>
          </w:tcPr>
          <w:p w:rsidR="00AB7507" w:rsidRDefault="00AB7507">
            <w:pPr>
              <w:spacing w:line="300" w:lineRule="exact"/>
              <w:jc w:val="left"/>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1</w:t>
            </w:r>
            <w:r>
              <w:rPr>
                <w:rFonts w:ascii="方正书宋_GBK" w:eastAsia="方正书宋_GBK" w:hint="eastAsia"/>
                <w:b/>
              </w:rPr>
              <w:t>、涉检信访办理</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统一受理报案、控告、举报、申诉和犯罪嫌疑人投案自首，办理对公检法三机关及工作人员阻碍辩护人、诉讼代理人依法行使诉讼权利的控告或申诉，办理对本院办案中违法行为的控告或申诉，受理民事监督案件。</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构建依法有序信访秩序，及时依法解决群众诉求。</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错案率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&gt;15%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法定期限内办结率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有效化解涉检信访矛盾率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227"/>
          <w:jc w:val="center"/>
        </w:trPr>
        <w:tc>
          <w:tcPr>
            <w:tcW w:w="2341" w:type="dxa"/>
            <w:vMerge w:val="restart"/>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2</w:t>
            </w:r>
            <w:r>
              <w:rPr>
                <w:rFonts w:ascii="方正书宋_GBK" w:eastAsia="方正书宋_GBK" w:hint="eastAsia"/>
                <w:b/>
              </w:rPr>
              <w:t>、举报管理、涉检国家赔偿和司法救助</w:t>
            </w:r>
          </w:p>
        </w:tc>
        <w:tc>
          <w:tcPr>
            <w:tcW w:w="1276" w:type="dxa"/>
            <w:vMerge w:val="restart"/>
            <w:shd w:val="clear" w:color="auto" w:fill="auto"/>
            <w:vAlign w:val="center"/>
          </w:tcPr>
          <w:p w:rsidR="00AB7507" w:rsidRDefault="00AB7507">
            <w:pPr>
              <w:spacing w:line="300" w:lineRule="exact"/>
              <w:jc w:val="left"/>
              <w:rPr>
                <w:rFonts w:ascii="方正书宋_GBK" w:eastAsia="方正书宋_GBK"/>
              </w:rPr>
            </w:pP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受理初核对国家工作人员职务犯罪的举报；统一办理人民检察院作为赔偿义务机关的刑事赔偿案件，对人民法院赔偿委员会判决、裁定进行监督，开展司法救助工作。</w:t>
            </w:r>
          </w:p>
        </w:tc>
        <w:tc>
          <w:tcPr>
            <w:tcW w:w="2976" w:type="dxa"/>
            <w:vMerge w:val="restart"/>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加强和改进举报工作，保护被赔偿人和被救助人合法权益。</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法定期限内办结率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&lt;90%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举报移送立案率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&lt;30%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涉检国家赔偿错案率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15%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&gt;15%</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举报线索处置率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&lt;90%</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涉检国家赔</w:t>
            </w:r>
            <w:r>
              <w:rPr>
                <w:rFonts w:ascii="方正书宋_GBK" w:eastAsia="方正书宋_GBK" w:hint="eastAsia"/>
              </w:rPr>
              <w:lastRenderedPageBreak/>
              <w:t>偿率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lastRenderedPageBreak/>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lastRenderedPageBreak/>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lastRenderedPageBreak/>
              <w:t>≥</w:t>
            </w:r>
            <w:r>
              <w:rPr>
                <w:rFonts w:ascii="方正书宋_GBK" w:eastAsia="方正书宋_GBK"/>
              </w:rPr>
              <w:lastRenderedPageBreak/>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lastRenderedPageBreak/>
              <w:t>&lt;60</w:t>
            </w:r>
            <w:r>
              <w:rPr>
                <w:rFonts w:ascii="方正书宋_GBK" w:eastAsia="方正书宋_GBK"/>
              </w:rPr>
              <w:lastRenderedPageBreak/>
              <w:t>%</w:t>
            </w:r>
          </w:p>
        </w:tc>
      </w:tr>
      <w:tr w:rsidR="00AB7507">
        <w:trPr>
          <w:trHeight w:val="227"/>
          <w:jc w:val="center"/>
        </w:trPr>
        <w:tc>
          <w:tcPr>
            <w:tcW w:w="2341" w:type="dxa"/>
            <w:vMerge/>
            <w:shd w:val="clear" w:color="auto" w:fill="auto"/>
            <w:vAlign w:val="center"/>
          </w:tcPr>
          <w:p w:rsidR="00AB7507" w:rsidRDefault="00AB7507">
            <w:pPr>
              <w:spacing w:line="300" w:lineRule="exact"/>
              <w:jc w:val="left"/>
              <w:rPr>
                <w:rFonts w:ascii="方正书宋_GBK" w:eastAsia="方正书宋_GBK"/>
                <w:b/>
              </w:rPr>
            </w:pPr>
          </w:p>
        </w:tc>
        <w:tc>
          <w:tcPr>
            <w:tcW w:w="12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2976" w:type="dxa"/>
            <w:vMerge/>
            <w:shd w:val="clear" w:color="auto" w:fill="auto"/>
            <w:vAlign w:val="center"/>
          </w:tcPr>
          <w:p w:rsidR="00AB7507" w:rsidRDefault="00AB7507">
            <w:pPr>
              <w:spacing w:line="300" w:lineRule="exact"/>
              <w:jc w:val="left"/>
              <w:rPr>
                <w:rFonts w:ascii="方正书宋_GBK" w:eastAsia="方正书宋_GBK"/>
              </w:rPr>
            </w:pP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司法救助率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&lt;60%</w:t>
            </w:r>
          </w:p>
        </w:tc>
      </w:tr>
      <w:tr w:rsidR="00AB7507">
        <w:trPr>
          <w:trHeight w:val="570"/>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四、检察事务管理</w:t>
            </w:r>
          </w:p>
        </w:tc>
        <w:tc>
          <w:tcPr>
            <w:tcW w:w="12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4138000</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承担系统综合业务管理和综合事务管理工作</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确保全年各项检察工作圆满完成</w:t>
            </w:r>
          </w:p>
        </w:tc>
        <w:tc>
          <w:tcPr>
            <w:tcW w:w="1417" w:type="dxa"/>
            <w:shd w:val="clear" w:color="auto" w:fill="auto"/>
            <w:vAlign w:val="center"/>
          </w:tcPr>
          <w:p w:rsidR="00AB7507" w:rsidRDefault="00AB7507">
            <w:pPr>
              <w:spacing w:line="300" w:lineRule="exact"/>
              <w:jc w:val="left"/>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c>
          <w:tcPr>
            <w:tcW w:w="737" w:type="dxa"/>
            <w:shd w:val="clear" w:color="auto" w:fill="auto"/>
            <w:vAlign w:val="center"/>
          </w:tcPr>
          <w:p w:rsidR="00AB7507" w:rsidRDefault="00AB7507">
            <w:pPr>
              <w:spacing w:line="300" w:lineRule="exact"/>
              <w:jc w:val="center"/>
              <w:rPr>
                <w:rFonts w:ascii="方正书宋_GBK" w:eastAsia="方正书宋_GBK"/>
              </w:rPr>
            </w:pPr>
          </w:p>
        </w:tc>
      </w:tr>
      <w:tr w:rsidR="00AB7507">
        <w:trPr>
          <w:trHeight w:val="227"/>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1</w:t>
            </w:r>
            <w:r>
              <w:rPr>
                <w:rFonts w:ascii="方正书宋_GBK" w:eastAsia="方正书宋_GBK" w:hint="eastAsia"/>
                <w:b/>
              </w:rPr>
              <w:t>、综合业务管理</w:t>
            </w:r>
          </w:p>
        </w:tc>
        <w:tc>
          <w:tcPr>
            <w:tcW w:w="1276" w:type="dxa"/>
            <w:shd w:val="clear" w:color="auto" w:fill="auto"/>
            <w:vAlign w:val="center"/>
          </w:tcPr>
          <w:p w:rsidR="00AB7507" w:rsidRDefault="00AB7507">
            <w:pPr>
              <w:spacing w:line="300" w:lineRule="exact"/>
              <w:jc w:val="left"/>
              <w:rPr>
                <w:rFonts w:ascii="方正书宋_GBK" w:eastAsia="方正书宋_GBK"/>
              </w:rPr>
            </w:pP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确定全县检察阶段性的工作重点和措施，部署检察工作任务；进行案件质量保证体系建设；开展涉农检察工作；参与社会管理综合治理等工作；推进行政执法与刑事司法无缝对接；进行法律政策研究工作；加强人民监督员和人大代表监督；统筹进行网络信息化建设；开展检察宣传工作；推进检务公开。</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提高执法水平和办案质量、提升检察机关法律监督能力。</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各项综合业务管理工作完成率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&lt;90%</w:t>
            </w:r>
          </w:p>
        </w:tc>
      </w:tr>
      <w:tr w:rsidR="00AB7507">
        <w:trPr>
          <w:trHeight w:val="227"/>
          <w:jc w:val="center"/>
        </w:trPr>
        <w:tc>
          <w:tcPr>
            <w:tcW w:w="2341" w:type="dxa"/>
            <w:shd w:val="clear" w:color="auto" w:fill="auto"/>
            <w:vAlign w:val="center"/>
          </w:tcPr>
          <w:p w:rsidR="00AB7507" w:rsidRDefault="00C91E0D">
            <w:pPr>
              <w:spacing w:line="300" w:lineRule="exact"/>
              <w:jc w:val="left"/>
              <w:rPr>
                <w:rFonts w:ascii="方正书宋_GBK" w:eastAsia="方正书宋_GBK"/>
                <w:b/>
              </w:rPr>
            </w:pPr>
            <w:r>
              <w:rPr>
                <w:rFonts w:ascii="方正书宋_GBK" w:eastAsia="方正书宋_GBK" w:hint="eastAsia"/>
                <w:b/>
              </w:rPr>
              <w:t xml:space="preserve">　　</w:t>
            </w:r>
            <w:r>
              <w:rPr>
                <w:rFonts w:ascii="方正书宋_GBK" w:eastAsia="方正书宋_GBK"/>
                <w:b/>
              </w:rPr>
              <w:t>2</w:t>
            </w:r>
            <w:r>
              <w:rPr>
                <w:rFonts w:ascii="方正书宋_GBK" w:eastAsia="方正书宋_GBK" w:hint="eastAsia"/>
                <w:b/>
              </w:rPr>
              <w:t>、综合事务管理</w:t>
            </w:r>
          </w:p>
        </w:tc>
        <w:tc>
          <w:tcPr>
            <w:tcW w:w="12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4138000</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开展全县检察人员的教育培训工作和对外交流工作；进行检察装备建设及维护；配备制式检察服装及法警服装；进行基础设施建设和维护。</w:t>
            </w:r>
          </w:p>
        </w:tc>
        <w:tc>
          <w:tcPr>
            <w:tcW w:w="2976"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为检察工作顺利开展提供保障。</w:t>
            </w:r>
          </w:p>
        </w:tc>
        <w:tc>
          <w:tcPr>
            <w:tcW w:w="1417" w:type="dxa"/>
            <w:shd w:val="clear" w:color="auto" w:fill="auto"/>
            <w:vAlign w:val="center"/>
          </w:tcPr>
          <w:p w:rsidR="00AB7507" w:rsidRDefault="00C91E0D">
            <w:pPr>
              <w:spacing w:line="300" w:lineRule="exact"/>
              <w:jc w:val="left"/>
              <w:rPr>
                <w:rFonts w:ascii="方正书宋_GBK" w:eastAsia="方正书宋_GBK"/>
              </w:rPr>
            </w:pPr>
            <w:r>
              <w:rPr>
                <w:rFonts w:ascii="方正书宋_GBK" w:eastAsia="方正书宋_GBK" w:hint="eastAsia"/>
              </w:rPr>
              <w:t>各项综合事务工作完成率</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shd w:val="clear" w:color="auto" w:fill="auto"/>
            <w:vAlign w:val="center"/>
          </w:tcPr>
          <w:p w:rsidR="00AB7507" w:rsidRDefault="00C91E0D">
            <w:pPr>
              <w:spacing w:line="300" w:lineRule="exact"/>
              <w:jc w:val="center"/>
              <w:rPr>
                <w:rFonts w:ascii="方正书宋_GBK" w:eastAsia="方正书宋_GBK"/>
              </w:rPr>
            </w:pPr>
            <w:r>
              <w:rPr>
                <w:rFonts w:ascii="方正书宋_GBK" w:eastAsia="方正书宋_GBK"/>
              </w:rPr>
              <w:t>&lt;90%</w:t>
            </w:r>
          </w:p>
        </w:tc>
      </w:tr>
    </w:tbl>
    <w:p w:rsidR="00AB7507" w:rsidRDefault="00AB7507">
      <w:pPr>
        <w:spacing w:line="300" w:lineRule="exact"/>
        <w:jc w:val="left"/>
        <w:outlineLvl w:val="0"/>
      </w:pPr>
    </w:p>
    <w:p w:rsidR="00AB7507" w:rsidRDefault="00AB7507">
      <w:pPr>
        <w:spacing w:line="300" w:lineRule="exact"/>
        <w:jc w:val="left"/>
        <w:outlineLvl w:val="0"/>
      </w:pPr>
    </w:p>
    <w:p w:rsidR="00AB7507" w:rsidRDefault="00C91E0D">
      <w:pPr>
        <w:autoSpaceDE w:val="0"/>
        <w:autoSpaceDN w:val="0"/>
        <w:adjustRightInd w:val="0"/>
        <w:jc w:val="left"/>
        <w:rPr>
          <w:rFonts w:ascii="黑体" w:eastAsia="黑体" w:hAnsi="黑体" w:cs="Times New Roman"/>
          <w:sz w:val="32"/>
          <w:szCs w:val="32"/>
        </w:rPr>
      </w:pPr>
      <w:r>
        <w:rPr>
          <w:rFonts w:ascii="黑体" w:eastAsia="黑体" w:hAnsi="黑体" w:cs="Times New Roman" w:hint="eastAsia"/>
          <w:sz w:val="32"/>
          <w:szCs w:val="32"/>
        </w:rPr>
        <w:t>六、政府采购预算情况</w:t>
      </w:r>
    </w:p>
    <w:p w:rsidR="00AB7507" w:rsidRDefault="00C91E0D">
      <w:pPr>
        <w:outlineLvl w:val="0"/>
        <w:rPr>
          <w:rFonts w:ascii="Times New Roman" w:eastAsia="仿宋" w:hAnsi="Times New Roman" w:cs="Times New Roman"/>
          <w:sz w:val="32"/>
          <w:szCs w:val="24"/>
        </w:rPr>
      </w:pPr>
      <w:bookmarkStart w:id="6" w:name="_Toc471398468"/>
      <w:r>
        <w:rPr>
          <w:rFonts w:ascii="Times New Roman" w:eastAsia="仿宋" w:hAnsi="Times New Roman" w:cs="Times New Roman"/>
          <w:sz w:val="32"/>
          <w:szCs w:val="24"/>
        </w:rPr>
        <w:t>201</w:t>
      </w:r>
      <w:r>
        <w:rPr>
          <w:rFonts w:ascii="Times New Roman" w:eastAsia="仿宋" w:hAnsi="Times New Roman" w:cs="Times New Roman" w:hint="eastAsia"/>
          <w:sz w:val="32"/>
          <w:szCs w:val="24"/>
        </w:rPr>
        <w:t>9</w:t>
      </w:r>
      <w:r>
        <w:rPr>
          <w:rFonts w:ascii="Times New Roman" w:eastAsia="仿宋" w:hAnsi="Times New Roman" w:cs="Times New Roman"/>
          <w:sz w:val="32"/>
          <w:szCs w:val="24"/>
        </w:rPr>
        <w:t>年，</w:t>
      </w:r>
      <w:r>
        <w:rPr>
          <w:rFonts w:ascii="Times New Roman" w:eastAsia="仿宋" w:hAnsi="Times New Roman" w:cs="Times New Roman" w:hint="eastAsia"/>
          <w:sz w:val="32"/>
          <w:szCs w:val="24"/>
        </w:rPr>
        <w:t>我部门</w:t>
      </w:r>
      <w:r>
        <w:rPr>
          <w:rFonts w:ascii="Times New Roman" w:eastAsia="仿宋" w:hAnsi="Times New Roman" w:cs="Times New Roman" w:hint="eastAsia"/>
          <w:sz w:val="32"/>
          <w:szCs w:val="24"/>
        </w:rPr>
        <w:t>未</w:t>
      </w:r>
      <w:r>
        <w:rPr>
          <w:rFonts w:ascii="Times New Roman" w:eastAsia="仿宋" w:hAnsi="Times New Roman" w:cs="Times New Roman"/>
          <w:sz w:val="32"/>
          <w:szCs w:val="24"/>
        </w:rPr>
        <w:t>安排政府采购预算</w:t>
      </w:r>
      <w:r>
        <w:rPr>
          <w:rFonts w:ascii="Times New Roman" w:eastAsia="仿宋" w:hAnsi="Times New Roman" w:cs="Times New Roman" w:hint="eastAsia"/>
          <w:sz w:val="32"/>
          <w:szCs w:val="24"/>
        </w:rPr>
        <w:t>。</w:t>
      </w:r>
      <w:bookmarkEnd w:id="6"/>
    </w:p>
    <w:p w:rsidR="00AB7507" w:rsidRDefault="00AB7507">
      <w:pPr>
        <w:spacing w:line="300" w:lineRule="exact"/>
        <w:jc w:val="left"/>
        <w:outlineLvl w:val="0"/>
        <w:sectPr w:rsidR="00AB7507">
          <w:pgSz w:w="16839" w:h="11907" w:orient="landscape"/>
          <w:pgMar w:top="1020" w:right="1361" w:bottom="1020" w:left="1361" w:header="851" w:footer="992" w:gutter="0"/>
          <w:cols w:space="720"/>
          <w:docGrid w:type="lines" w:linePitch="312"/>
        </w:sectPr>
      </w:pPr>
    </w:p>
    <w:p w:rsidR="00AB7507" w:rsidRDefault="00C91E0D">
      <w:pPr>
        <w:rPr>
          <w:rFonts w:ascii="Times New Roman" w:eastAsia="仿宋" w:hAnsi="Times New Roman" w:cs="Times New Roman"/>
          <w:color w:val="000000"/>
          <w:sz w:val="32"/>
          <w:szCs w:val="32"/>
        </w:rPr>
      </w:pPr>
      <w:r>
        <w:rPr>
          <w:rFonts w:ascii="黑体" w:eastAsia="黑体" w:hAnsi="黑体" w:cs="Times New Roman" w:hint="eastAsia"/>
          <w:sz w:val="32"/>
          <w:szCs w:val="32"/>
        </w:rPr>
        <w:lastRenderedPageBreak/>
        <w:t>七、国有资产信息</w:t>
      </w:r>
    </w:p>
    <w:p w:rsidR="00AB7507" w:rsidRDefault="00C91E0D">
      <w:pPr>
        <w:ind w:firstLine="640"/>
        <w:rPr>
          <w:rFonts w:ascii="Times New Roman" w:eastAsia="仿宋" w:hAnsi="Times New Roman" w:cs="Times New Roman"/>
          <w:color w:val="000000"/>
          <w:sz w:val="32"/>
          <w:szCs w:val="32"/>
        </w:rPr>
      </w:pPr>
      <w:r>
        <w:rPr>
          <w:rFonts w:ascii="Times New Roman" w:eastAsia="仿宋" w:hAnsi="Times New Roman" w:cs="Times New Roman" w:hint="eastAsia"/>
          <w:color w:val="000000"/>
          <w:sz w:val="32"/>
          <w:szCs w:val="32"/>
        </w:rPr>
        <w:t>2018</w:t>
      </w:r>
      <w:r>
        <w:rPr>
          <w:rFonts w:ascii="Times New Roman" w:eastAsia="仿宋" w:hAnsi="Times New Roman" w:cs="Times New Roman" w:hint="eastAsia"/>
          <w:color w:val="000000"/>
          <w:sz w:val="32"/>
          <w:szCs w:val="32"/>
        </w:rPr>
        <w:t>年末固定资产金额为</w:t>
      </w:r>
      <w:r>
        <w:rPr>
          <w:rFonts w:ascii="Times New Roman" w:eastAsia="仿宋" w:hAnsi="Times New Roman" w:cs="Times New Roman" w:hint="eastAsia"/>
          <w:color w:val="000000"/>
          <w:sz w:val="32"/>
          <w:szCs w:val="32"/>
        </w:rPr>
        <w:t>2872.59</w:t>
      </w:r>
      <w:r>
        <w:rPr>
          <w:rFonts w:ascii="Times New Roman" w:eastAsia="仿宋" w:hAnsi="Times New Roman" w:cs="Times New Roman" w:hint="eastAsia"/>
          <w:color w:val="000000"/>
          <w:sz w:val="32"/>
          <w:szCs w:val="32"/>
        </w:rPr>
        <w:t>万元（详见下表）</w:t>
      </w:r>
      <w:r>
        <w:rPr>
          <w:rFonts w:ascii="Times New Roman" w:eastAsia="仿宋" w:hAnsi="Times New Roman" w:cs="Times New Roman" w:hint="eastAsia"/>
          <w:color w:val="000000"/>
          <w:sz w:val="32"/>
          <w:szCs w:val="32"/>
        </w:rPr>
        <w:t>。</w:t>
      </w:r>
    </w:p>
    <w:tbl>
      <w:tblPr>
        <w:tblW w:w="13482" w:type="dxa"/>
        <w:tblInd w:w="93" w:type="dxa"/>
        <w:tblLayout w:type="fixed"/>
        <w:tblLook w:val="04A0"/>
      </w:tblPr>
      <w:tblGrid>
        <w:gridCol w:w="5224"/>
        <w:gridCol w:w="3155"/>
        <w:gridCol w:w="5103"/>
      </w:tblGrid>
      <w:tr w:rsidR="00AB7507">
        <w:trPr>
          <w:trHeight w:val="705"/>
        </w:trPr>
        <w:tc>
          <w:tcPr>
            <w:tcW w:w="13482" w:type="dxa"/>
            <w:gridSpan w:val="3"/>
            <w:tcBorders>
              <w:top w:val="nil"/>
              <w:left w:val="nil"/>
              <w:bottom w:val="nil"/>
              <w:right w:val="nil"/>
            </w:tcBorders>
            <w:vAlign w:val="center"/>
          </w:tcPr>
          <w:p w:rsidR="00AB7507" w:rsidRDefault="00C91E0D">
            <w:pPr>
              <w:widowControl/>
              <w:jc w:val="center"/>
              <w:rPr>
                <w:rFonts w:ascii="宋体" w:hAnsi="宋体" w:cs="宋体"/>
                <w:b/>
                <w:bCs/>
                <w:kern w:val="0"/>
                <w:sz w:val="32"/>
                <w:szCs w:val="32"/>
              </w:rPr>
            </w:pPr>
            <w:r>
              <w:rPr>
                <w:rFonts w:ascii="宋体" w:hAnsi="宋体" w:cs="宋体" w:hint="eastAsia"/>
                <w:b/>
                <w:bCs/>
                <w:kern w:val="0"/>
                <w:sz w:val="32"/>
                <w:szCs w:val="32"/>
              </w:rPr>
              <w:t>枣强县部门固定资产占用情况表</w:t>
            </w:r>
          </w:p>
        </w:tc>
      </w:tr>
      <w:tr w:rsidR="00AB7507">
        <w:trPr>
          <w:trHeight w:val="510"/>
        </w:trPr>
        <w:tc>
          <w:tcPr>
            <w:tcW w:w="8379" w:type="dxa"/>
            <w:gridSpan w:val="2"/>
            <w:tcBorders>
              <w:top w:val="nil"/>
              <w:left w:val="nil"/>
              <w:bottom w:val="nil"/>
              <w:right w:val="nil"/>
            </w:tcBorders>
            <w:vAlign w:val="center"/>
          </w:tcPr>
          <w:p w:rsidR="00AB7507" w:rsidRDefault="00C91E0D">
            <w:pPr>
              <w:widowControl/>
              <w:jc w:val="left"/>
              <w:rPr>
                <w:rFonts w:ascii="Times New Roman" w:eastAsia="仿宋" w:hAnsi="Times New Roman" w:cs="Times New Roman"/>
                <w:kern w:val="0"/>
                <w:sz w:val="22"/>
              </w:rPr>
            </w:pPr>
            <w:r>
              <w:rPr>
                <w:rFonts w:ascii="Times New Roman" w:eastAsia="仿宋" w:hAnsi="Times New Roman" w:cs="Times New Roman"/>
                <w:kern w:val="0"/>
                <w:sz w:val="22"/>
              </w:rPr>
              <w:t>编制部门：</w:t>
            </w:r>
            <w:r>
              <w:rPr>
                <w:rFonts w:ascii="仿宋" w:eastAsia="仿宋" w:hAnsi="仿宋" w:cs="Times New Roman" w:hint="eastAsia"/>
                <w:sz w:val="32"/>
                <w:szCs w:val="32"/>
              </w:rPr>
              <w:t>枣强县人民检察院</w:t>
            </w:r>
          </w:p>
        </w:tc>
        <w:tc>
          <w:tcPr>
            <w:tcW w:w="5103" w:type="dxa"/>
            <w:tcBorders>
              <w:top w:val="nil"/>
              <w:left w:val="nil"/>
              <w:bottom w:val="nil"/>
              <w:right w:val="nil"/>
            </w:tcBorders>
            <w:vAlign w:val="center"/>
          </w:tcPr>
          <w:p w:rsidR="00AB7507" w:rsidRDefault="00C91E0D">
            <w:pPr>
              <w:widowControl/>
              <w:ind w:firstLineChars="600" w:firstLine="1320"/>
              <w:jc w:val="left"/>
              <w:rPr>
                <w:rFonts w:ascii="Times New Roman" w:eastAsia="仿宋" w:hAnsi="Times New Roman" w:cs="Times New Roman"/>
                <w:kern w:val="0"/>
                <w:sz w:val="22"/>
              </w:rPr>
            </w:pPr>
            <w:r>
              <w:rPr>
                <w:rFonts w:ascii="Times New Roman" w:eastAsia="仿宋" w:hAnsi="Times New Roman" w:cs="Times New Roman"/>
                <w:kern w:val="0"/>
                <w:sz w:val="22"/>
              </w:rPr>
              <w:t>截止时间：</w:t>
            </w:r>
            <w:r>
              <w:rPr>
                <w:rFonts w:ascii="Times New Roman" w:eastAsia="仿宋" w:hAnsi="Times New Roman" w:cs="Times New Roman"/>
                <w:kern w:val="0"/>
                <w:sz w:val="22"/>
              </w:rPr>
              <w:t>201</w:t>
            </w:r>
            <w:r>
              <w:rPr>
                <w:rFonts w:ascii="Times New Roman" w:eastAsia="仿宋" w:hAnsi="Times New Roman" w:cs="Times New Roman" w:hint="eastAsia"/>
                <w:kern w:val="0"/>
                <w:sz w:val="22"/>
              </w:rPr>
              <w:t>8</w:t>
            </w:r>
            <w:r>
              <w:rPr>
                <w:rFonts w:ascii="Times New Roman" w:eastAsia="仿宋" w:hAnsi="Times New Roman" w:cs="Times New Roman"/>
                <w:kern w:val="0"/>
                <w:sz w:val="22"/>
              </w:rPr>
              <w:t>年</w:t>
            </w:r>
            <w:r>
              <w:rPr>
                <w:rFonts w:ascii="Times New Roman" w:eastAsia="仿宋" w:hAnsi="Times New Roman" w:cs="Times New Roman"/>
                <w:kern w:val="0"/>
                <w:sz w:val="22"/>
              </w:rPr>
              <w:t>12</w:t>
            </w:r>
            <w:r>
              <w:rPr>
                <w:rFonts w:ascii="Times New Roman" w:eastAsia="仿宋" w:hAnsi="Times New Roman" w:cs="Times New Roman"/>
                <w:kern w:val="0"/>
                <w:sz w:val="22"/>
              </w:rPr>
              <w:t>月</w:t>
            </w:r>
            <w:r>
              <w:rPr>
                <w:rFonts w:ascii="Times New Roman" w:eastAsia="仿宋" w:hAnsi="Times New Roman" w:cs="Times New Roman"/>
                <w:kern w:val="0"/>
                <w:sz w:val="22"/>
              </w:rPr>
              <w:t>31</w:t>
            </w:r>
            <w:r>
              <w:rPr>
                <w:rFonts w:ascii="Times New Roman" w:eastAsia="仿宋" w:hAnsi="Times New Roman" w:cs="Times New Roman"/>
                <w:kern w:val="0"/>
                <w:sz w:val="22"/>
              </w:rPr>
              <w:t>日</w:t>
            </w:r>
          </w:p>
        </w:tc>
      </w:tr>
      <w:tr w:rsidR="00AB7507">
        <w:trPr>
          <w:trHeight w:val="485"/>
        </w:trPr>
        <w:tc>
          <w:tcPr>
            <w:tcW w:w="5224" w:type="dxa"/>
            <w:tcBorders>
              <w:top w:val="single" w:sz="4" w:space="0" w:color="auto"/>
              <w:left w:val="single" w:sz="4" w:space="0" w:color="auto"/>
              <w:bottom w:val="single" w:sz="4" w:space="0" w:color="auto"/>
              <w:right w:val="single" w:sz="4" w:space="0" w:color="auto"/>
            </w:tcBorders>
            <w:vAlign w:val="center"/>
          </w:tcPr>
          <w:p w:rsidR="00AB7507" w:rsidRDefault="00C91E0D">
            <w:pPr>
              <w:widowControl/>
              <w:jc w:val="center"/>
              <w:rPr>
                <w:rFonts w:ascii="宋体" w:hAnsi="宋体" w:cs="宋体"/>
                <w:b/>
                <w:bCs/>
                <w:kern w:val="0"/>
                <w:sz w:val="22"/>
              </w:rPr>
            </w:pPr>
            <w:r>
              <w:rPr>
                <w:rFonts w:ascii="宋体" w:hAnsi="宋体" w:cs="宋体" w:hint="eastAsia"/>
                <w:b/>
                <w:bCs/>
                <w:kern w:val="0"/>
                <w:sz w:val="22"/>
              </w:rPr>
              <w:t>项目</w:t>
            </w:r>
          </w:p>
        </w:tc>
        <w:tc>
          <w:tcPr>
            <w:tcW w:w="3155" w:type="dxa"/>
            <w:tcBorders>
              <w:top w:val="single" w:sz="4" w:space="0" w:color="auto"/>
              <w:left w:val="nil"/>
              <w:bottom w:val="single" w:sz="4" w:space="0" w:color="auto"/>
              <w:right w:val="single" w:sz="4" w:space="0" w:color="auto"/>
            </w:tcBorders>
            <w:vAlign w:val="center"/>
          </w:tcPr>
          <w:p w:rsidR="00AB7507" w:rsidRDefault="00C91E0D">
            <w:pPr>
              <w:widowControl/>
              <w:jc w:val="center"/>
              <w:rPr>
                <w:rFonts w:ascii="宋体" w:hAnsi="宋体" w:cs="宋体"/>
                <w:b/>
                <w:bCs/>
                <w:kern w:val="0"/>
                <w:sz w:val="22"/>
              </w:rPr>
            </w:pPr>
            <w:r>
              <w:rPr>
                <w:rFonts w:ascii="宋体" w:hAnsi="宋体" w:cs="宋体" w:hint="eastAsia"/>
                <w:b/>
                <w:bCs/>
                <w:kern w:val="0"/>
                <w:sz w:val="22"/>
              </w:rPr>
              <w:t>数量</w:t>
            </w:r>
          </w:p>
        </w:tc>
        <w:tc>
          <w:tcPr>
            <w:tcW w:w="5103" w:type="dxa"/>
            <w:tcBorders>
              <w:top w:val="single" w:sz="4" w:space="0" w:color="auto"/>
              <w:left w:val="nil"/>
              <w:bottom w:val="single" w:sz="4" w:space="0" w:color="auto"/>
              <w:right w:val="single" w:sz="4" w:space="0" w:color="auto"/>
            </w:tcBorders>
            <w:vAlign w:val="center"/>
          </w:tcPr>
          <w:p w:rsidR="00AB7507" w:rsidRDefault="00C91E0D">
            <w:pPr>
              <w:widowControl/>
              <w:jc w:val="center"/>
              <w:rPr>
                <w:rFonts w:ascii="宋体" w:hAnsi="宋体" w:cs="宋体"/>
                <w:b/>
                <w:bCs/>
                <w:kern w:val="0"/>
                <w:sz w:val="22"/>
              </w:rPr>
            </w:pPr>
            <w:r>
              <w:rPr>
                <w:rFonts w:ascii="宋体" w:hAnsi="宋体" w:cs="宋体" w:hint="eastAsia"/>
                <w:b/>
                <w:bCs/>
                <w:kern w:val="0"/>
                <w:sz w:val="22"/>
              </w:rPr>
              <w:t>价值（金额单位：万元）</w:t>
            </w:r>
          </w:p>
        </w:tc>
      </w:tr>
      <w:tr w:rsidR="00AB7507">
        <w:trPr>
          <w:trHeight w:val="390"/>
        </w:trPr>
        <w:tc>
          <w:tcPr>
            <w:tcW w:w="5224" w:type="dxa"/>
            <w:tcBorders>
              <w:top w:val="nil"/>
              <w:left w:val="single" w:sz="4" w:space="0" w:color="auto"/>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kern w:val="0"/>
                <w:sz w:val="22"/>
              </w:rPr>
              <w:t>资产总额</w:t>
            </w:r>
          </w:p>
        </w:tc>
        <w:tc>
          <w:tcPr>
            <w:tcW w:w="3155"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kern w:val="0"/>
                <w:sz w:val="22"/>
              </w:rPr>
              <w:t>——</w:t>
            </w:r>
          </w:p>
        </w:tc>
        <w:tc>
          <w:tcPr>
            <w:tcW w:w="5103" w:type="dxa"/>
            <w:tcBorders>
              <w:top w:val="nil"/>
              <w:left w:val="nil"/>
              <w:bottom w:val="single" w:sz="4" w:space="0" w:color="auto"/>
              <w:right w:val="single" w:sz="4" w:space="0" w:color="auto"/>
            </w:tcBorders>
            <w:vAlign w:val="center"/>
          </w:tcPr>
          <w:p w:rsidR="00AB7507" w:rsidRPr="00B71956" w:rsidRDefault="00B71956">
            <w:pPr>
              <w:widowControl/>
              <w:jc w:val="center"/>
              <w:rPr>
                <w:rFonts w:ascii="Times New Roman" w:eastAsia="仿宋" w:hAnsi="Times New Roman" w:cs="Times New Roman"/>
                <w:kern w:val="0"/>
                <w:sz w:val="22"/>
              </w:rPr>
            </w:pPr>
            <w:r w:rsidRPr="00B71956">
              <w:rPr>
                <w:rFonts w:ascii="Times New Roman" w:eastAsia="仿宋" w:hAnsi="Times New Roman" w:cs="Times New Roman" w:hint="eastAsia"/>
                <w:kern w:val="0"/>
                <w:sz w:val="22"/>
              </w:rPr>
              <w:t>2872.59</w:t>
            </w:r>
          </w:p>
        </w:tc>
      </w:tr>
      <w:tr w:rsidR="00AB7507">
        <w:trPr>
          <w:trHeight w:val="645"/>
        </w:trPr>
        <w:tc>
          <w:tcPr>
            <w:tcW w:w="5224" w:type="dxa"/>
            <w:tcBorders>
              <w:top w:val="nil"/>
              <w:left w:val="single" w:sz="4" w:space="0" w:color="auto"/>
              <w:bottom w:val="single" w:sz="4" w:space="0" w:color="auto"/>
              <w:right w:val="single" w:sz="4" w:space="0" w:color="auto"/>
            </w:tcBorders>
            <w:vAlign w:val="center"/>
          </w:tcPr>
          <w:p w:rsidR="00AB7507" w:rsidRDefault="00C91E0D">
            <w:pPr>
              <w:widowControl/>
              <w:jc w:val="left"/>
              <w:rPr>
                <w:rFonts w:ascii="Times New Roman" w:eastAsia="仿宋" w:hAnsi="Times New Roman" w:cs="Times New Roman"/>
                <w:kern w:val="0"/>
                <w:sz w:val="22"/>
              </w:rPr>
            </w:pPr>
            <w:r>
              <w:rPr>
                <w:rFonts w:ascii="Times New Roman" w:eastAsia="仿宋" w:hAnsi="Times New Roman" w:cs="Times New Roman"/>
                <w:kern w:val="0"/>
                <w:sz w:val="22"/>
              </w:rPr>
              <w:t>1</w:t>
            </w:r>
            <w:r>
              <w:rPr>
                <w:rFonts w:ascii="Times New Roman" w:eastAsia="仿宋" w:hAnsi="Times New Roman" w:cs="Times New Roman"/>
                <w:kern w:val="0"/>
                <w:sz w:val="22"/>
              </w:rPr>
              <w:t>、房屋（平方米）</w:t>
            </w:r>
          </w:p>
        </w:tc>
        <w:tc>
          <w:tcPr>
            <w:tcW w:w="3155"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hint="eastAsia"/>
                <w:kern w:val="0"/>
                <w:sz w:val="22"/>
              </w:rPr>
              <w:t>25000</w:t>
            </w:r>
          </w:p>
        </w:tc>
        <w:tc>
          <w:tcPr>
            <w:tcW w:w="5103"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highlight w:val="yellow"/>
              </w:rPr>
            </w:pPr>
            <w:r>
              <w:rPr>
                <w:rFonts w:ascii="Times New Roman" w:eastAsia="仿宋" w:hAnsi="Times New Roman" w:cs="Times New Roman" w:hint="eastAsia"/>
                <w:kern w:val="0"/>
                <w:sz w:val="22"/>
              </w:rPr>
              <w:t>1830.58</w:t>
            </w:r>
          </w:p>
        </w:tc>
      </w:tr>
      <w:tr w:rsidR="00AB7507">
        <w:trPr>
          <w:trHeight w:val="645"/>
        </w:trPr>
        <w:tc>
          <w:tcPr>
            <w:tcW w:w="5224" w:type="dxa"/>
            <w:tcBorders>
              <w:top w:val="nil"/>
              <w:left w:val="single" w:sz="4" w:space="0" w:color="auto"/>
              <w:bottom w:val="single" w:sz="4" w:space="0" w:color="auto"/>
              <w:right w:val="single" w:sz="4" w:space="0" w:color="auto"/>
            </w:tcBorders>
            <w:vAlign w:val="center"/>
          </w:tcPr>
          <w:p w:rsidR="00AB7507" w:rsidRDefault="00C91E0D">
            <w:pPr>
              <w:widowControl/>
              <w:jc w:val="left"/>
              <w:rPr>
                <w:rFonts w:ascii="Times New Roman" w:eastAsia="仿宋" w:hAnsi="Times New Roman" w:cs="Times New Roman"/>
                <w:kern w:val="0"/>
                <w:sz w:val="22"/>
              </w:rPr>
            </w:pPr>
            <w:r>
              <w:rPr>
                <w:rFonts w:ascii="Times New Roman" w:eastAsia="仿宋" w:hAnsi="Times New Roman" w:cs="Times New Roman"/>
                <w:kern w:val="0"/>
                <w:sz w:val="22"/>
              </w:rPr>
              <w:t>其中：办公用房（平方米）</w:t>
            </w:r>
          </w:p>
        </w:tc>
        <w:tc>
          <w:tcPr>
            <w:tcW w:w="3155"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hint="eastAsia"/>
                <w:kern w:val="0"/>
                <w:sz w:val="22"/>
              </w:rPr>
              <w:t>5000</w:t>
            </w:r>
          </w:p>
        </w:tc>
        <w:tc>
          <w:tcPr>
            <w:tcW w:w="5103"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highlight w:val="yellow"/>
              </w:rPr>
            </w:pPr>
            <w:r>
              <w:rPr>
                <w:rFonts w:ascii="Times New Roman" w:eastAsia="仿宋" w:hAnsi="Times New Roman" w:cs="Times New Roman" w:hint="eastAsia"/>
                <w:kern w:val="0"/>
                <w:sz w:val="22"/>
              </w:rPr>
              <w:t>1477.44</w:t>
            </w:r>
          </w:p>
        </w:tc>
      </w:tr>
      <w:tr w:rsidR="00AB7507">
        <w:trPr>
          <w:trHeight w:val="645"/>
        </w:trPr>
        <w:tc>
          <w:tcPr>
            <w:tcW w:w="5224" w:type="dxa"/>
            <w:tcBorders>
              <w:top w:val="nil"/>
              <w:left w:val="single" w:sz="4" w:space="0" w:color="auto"/>
              <w:bottom w:val="single" w:sz="4" w:space="0" w:color="auto"/>
              <w:right w:val="single" w:sz="4" w:space="0" w:color="auto"/>
            </w:tcBorders>
            <w:vAlign w:val="center"/>
          </w:tcPr>
          <w:p w:rsidR="00AB7507" w:rsidRDefault="00C91E0D">
            <w:pPr>
              <w:widowControl/>
              <w:jc w:val="left"/>
              <w:rPr>
                <w:rFonts w:ascii="Times New Roman" w:eastAsia="仿宋" w:hAnsi="Times New Roman" w:cs="Times New Roman"/>
                <w:kern w:val="0"/>
                <w:sz w:val="22"/>
              </w:rPr>
            </w:pPr>
            <w:r>
              <w:rPr>
                <w:rFonts w:ascii="Times New Roman" w:eastAsia="仿宋" w:hAnsi="Times New Roman" w:cs="Times New Roman"/>
                <w:kern w:val="0"/>
                <w:sz w:val="22"/>
              </w:rPr>
              <w:t>2</w:t>
            </w:r>
            <w:r>
              <w:rPr>
                <w:rFonts w:ascii="Times New Roman" w:eastAsia="仿宋" w:hAnsi="Times New Roman" w:cs="Times New Roman"/>
                <w:kern w:val="0"/>
                <w:sz w:val="22"/>
              </w:rPr>
              <w:t>、车辆（台、辆）</w:t>
            </w:r>
          </w:p>
        </w:tc>
        <w:tc>
          <w:tcPr>
            <w:tcW w:w="3155"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hint="eastAsia"/>
                <w:kern w:val="0"/>
                <w:sz w:val="22"/>
              </w:rPr>
              <w:t>6</w:t>
            </w:r>
          </w:p>
        </w:tc>
        <w:tc>
          <w:tcPr>
            <w:tcW w:w="5103"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highlight w:val="yellow"/>
              </w:rPr>
            </w:pPr>
            <w:r>
              <w:rPr>
                <w:rFonts w:ascii="Times New Roman" w:eastAsia="仿宋" w:hAnsi="Times New Roman" w:cs="Times New Roman" w:hint="eastAsia"/>
                <w:kern w:val="0"/>
                <w:sz w:val="22"/>
              </w:rPr>
              <w:t>67.7</w:t>
            </w:r>
          </w:p>
        </w:tc>
      </w:tr>
      <w:tr w:rsidR="00AB7507">
        <w:trPr>
          <w:trHeight w:val="645"/>
        </w:trPr>
        <w:tc>
          <w:tcPr>
            <w:tcW w:w="5224" w:type="dxa"/>
            <w:tcBorders>
              <w:top w:val="nil"/>
              <w:left w:val="single" w:sz="4" w:space="0" w:color="auto"/>
              <w:bottom w:val="single" w:sz="4" w:space="0" w:color="auto"/>
              <w:right w:val="single" w:sz="4" w:space="0" w:color="auto"/>
            </w:tcBorders>
            <w:vAlign w:val="center"/>
          </w:tcPr>
          <w:p w:rsidR="00AB7507" w:rsidRDefault="00C91E0D">
            <w:pPr>
              <w:widowControl/>
              <w:jc w:val="left"/>
              <w:rPr>
                <w:rFonts w:ascii="Times New Roman" w:eastAsia="仿宋" w:hAnsi="Times New Roman" w:cs="Times New Roman"/>
                <w:kern w:val="0"/>
                <w:sz w:val="22"/>
              </w:rPr>
            </w:pPr>
            <w:r>
              <w:rPr>
                <w:rFonts w:ascii="Times New Roman" w:eastAsia="仿宋" w:hAnsi="Times New Roman" w:cs="Times New Roman"/>
                <w:kern w:val="0"/>
                <w:sz w:val="22"/>
              </w:rPr>
              <w:t>3</w:t>
            </w:r>
            <w:r>
              <w:rPr>
                <w:rFonts w:ascii="Times New Roman" w:eastAsia="仿宋" w:hAnsi="Times New Roman" w:cs="Times New Roman"/>
                <w:kern w:val="0"/>
                <w:sz w:val="22"/>
              </w:rPr>
              <w:t>、单价在</w:t>
            </w:r>
            <w:r>
              <w:rPr>
                <w:rFonts w:ascii="Times New Roman" w:eastAsia="仿宋" w:hAnsi="Times New Roman" w:cs="Times New Roman"/>
                <w:kern w:val="0"/>
                <w:sz w:val="22"/>
              </w:rPr>
              <w:t>20</w:t>
            </w:r>
            <w:r>
              <w:rPr>
                <w:rFonts w:ascii="Times New Roman" w:eastAsia="仿宋" w:hAnsi="Times New Roman" w:cs="Times New Roman"/>
                <w:kern w:val="0"/>
                <w:sz w:val="22"/>
              </w:rPr>
              <w:t>万元以上设备</w:t>
            </w:r>
          </w:p>
        </w:tc>
        <w:tc>
          <w:tcPr>
            <w:tcW w:w="3155"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kern w:val="0"/>
                <w:sz w:val="22"/>
              </w:rPr>
              <w:t>——</w:t>
            </w:r>
          </w:p>
        </w:tc>
        <w:tc>
          <w:tcPr>
            <w:tcW w:w="5103" w:type="dxa"/>
            <w:tcBorders>
              <w:top w:val="nil"/>
              <w:left w:val="nil"/>
              <w:bottom w:val="single" w:sz="4" w:space="0" w:color="auto"/>
              <w:right w:val="single" w:sz="4" w:space="0" w:color="auto"/>
            </w:tcBorders>
            <w:vAlign w:val="center"/>
          </w:tcPr>
          <w:p w:rsidR="00AB7507" w:rsidRDefault="00AB7507">
            <w:pPr>
              <w:widowControl/>
              <w:jc w:val="center"/>
              <w:rPr>
                <w:rFonts w:ascii="Times New Roman" w:eastAsia="仿宋" w:hAnsi="Times New Roman" w:cs="Times New Roman"/>
                <w:kern w:val="0"/>
                <w:sz w:val="22"/>
                <w:highlight w:val="yellow"/>
              </w:rPr>
            </w:pPr>
          </w:p>
        </w:tc>
      </w:tr>
      <w:tr w:rsidR="00AB7507">
        <w:trPr>
          <w:trHeight w:val="645"/>
        </w:trPr>
        <w:tc>
          <w:tcPr>
            <w:tcW w:w="5224" w:type="dxa"/>
            <w:tcBorders>
              <w:top w:val="nil"/>
              <w:left w:val="single" w:sz="4" w:space="0" w:color="auto"/>
              <w:bottom w:val="single" w:sz="4" w:space="0" w:color="auto"/>
              <w:right w:val="single" w:sz="4" w:space="0" w:color="auto"/>
            </w:tcBorders>
            <w:vAlign w:val="center"/>
          </w:tcPr>
          <w:p w:rsidR="00AB7507" w:rsidRDefault="00C91E0D">
            <w:pPr>
              <w:widowControl/>
              <w:jc w:val="left"/>
              <w:rPr>
                <w:rFonts w:ascii="Times New Roman" w:eastAsia="仿宋" w:hAnsi="Times New Roman" w:cs="Times New Roman"/>
                <w:kern w:val="0"/>
                <w:sz w:val="22"/>
              </w:rPr>
            </w:pPr>
            <w:r>
              <w:rPr>
                <w:rFonts w:ascii="Times New Roman" w:eastAsia="仿宋" w:hAnsi="Times New Roman" w:cs="Times New Roman"/>
                <w:kern w:val="0"/>
                <w:sz w:val="22"/>
              </w:rPr>
              <w:t>4</w:t>
            </w:r>
            <w:r>
              <w:rPr>
                <w:rFonts w:ascii="Times New Roman" w:eastAsia="仿宋" w:hAnsi="Times New Roman" w:cs="Times New Roman"/>
                <w:kern w:val="0"/>
                <w:sz w:val="22"/>
              </w:rPr>
              <w:t>、其他固定资产</w:t>
            </w:r>
          </w:p>
        </w:tc>
        <w:tc>
          <w:tcPr>
            <w:tcW w:w="3155"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rPr>
            </w:pPr>
            <w:r>
              <w:rPr>
                <w:rFonts w:ascii="Times New Roman" w:eastAsia="仿宋" w:hAnsi="Times New Roman" w:cs="Times New Roman"/>
                <w:kern w:val="0"/>
                <w:sz w:val="22"/>
              </w:rPr>
              <w:t>——</w:t>
            </w:r>
          </w:p>
        </w:tc>
        <w:tc>
          <w:tcPr>
            <w:tcW w:w="5103" w:type="dxa"/>
            <w:tcBorders>
              <w:top w:val="nil"/>
              <w:left w:val="nil"/>
              <w:bottom w:val="single" w:sz="4" w:space="0" w:color="auto"/>
              <w:right w:val="single" w:sz="4" w:space="0" w:color="auto"/>
            </w:tcBorders>
            <w:vAlign w:val="center"/>
          </w:tcPr>
          <w:p w:rsidR="00AB7507" w:rsidRDefault="00C91E0D">
            <w:pPr>
              <w:widowControl/>
              <w:jc w:val="center"/>
              <w:rPr>
                <w:rFonts w:ascii="Times New Roman" w:eastAsia="仿宋" w:hAnsi="Times New Roman" w:cs="Times New Roman"/>
                <w:kern w:val="0"/>
                <w:sz w:val="22"/>
                <w:highlight w:val="yellow"/>
              </w:rPr>
            </w:pPr>
            <w:r>
              <w:rPr>
                <w:rFonts w:ascii="Times New Roman" w:eastAsia="仿宋" w:hAnsi="Times New Roman" w:cs="Times New Roman" w:hint="eastAsia"/>
                <w:kern w:val="0"/>
                <w:sz w:val="22"/>
              </w:rPr>
              <w:t>974.31</w:t>
            </w:r>
          </w:p>
        </w:tc>
      </w:tr>
    </w:tbl>
    <w:p w:rsidR="00AB7507" w:rsidRDefault="00C91E0D">
      <w:pPr>
        <w:autoSpaceDE w:val="0"/>
        <w:autoSpaceDN w:val="0"/>
        <w:adjustRightInd w:val="0"/>
        <w:ind w:firstLineChars="200" w:firstLine="640"/>
        <w:jc w:val="left"/>
        <w:rPr>
          <w:rFonts w:ascii="黑体" w:eastAsia="黑体" w:hAnsi="黑体" w:cs="Times New Roman"/>
          <w:sz w:val="32"/>
          <w:szCs w:val="32"/>
        </w:rPr>
      </w:pPr>
      <w:r>
        <w:rPr>
          <w:rFonts w:ascii="黑体" w:eastAsia="黑体" w:hAnsi="黑体" w:cs="Times New Roman" w:hint="eastAsia"/>
          <w:sz w:val="32"/>
          <w:szCs w:val="32"/>
        </w:rPr>
        <w:t>八、名词解释</w:t>
      </w:r>
    </w:p>
    <w:p w:rsidR="00AB7507" w:rsidRDefault="00C91E0D">
      <w:pPr>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、一般公共预算拨款收入：指县级财政当年拨付的资金。</w:t>
      </w:r>
    </w:p>
    <w:p w:rsidR="00AB7507" w:rsidRDefault="00C91E0D">
      <w:pPr>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、基本支出：指为保障机构正常运转、完成日常工作任务而发生的人员支出和公用支出。</w:t>
      </w:r>
    </w:p>
    <w:p w:rsidR="00AB7507" w:rsidRDefault="00C91E0D">
      <w:pPr>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、项目支出：指在基本支出之外为完成特定行政任务和事业发展目标所发生的支出。</w:t>
      </w:r>
    </w:p>
    <w:p w:rsidR="00AB7507" w:rsidRDefault="00C91E0D">
      <w:pPr>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4</w:t>
      </w:r>
      <w:r>
        <w:rPr>
          <w:rFonts w:ascii="Times New Roman" w:eastAsia="仿宋" w:hAnsi="Times New Roman" w:cs="Times New Roman" w:hint="eastAsia"/>
          <w:sz w:val="32"/>
          <w:szCs w:val="32"/>
        </w:rPr>
        <w:t>、“三公”经费：纳入县级财政预算管理的“三公”经费，是指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AB7507" w:rsidRDefault="00C91E0D">
      <w:pPr>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、机关运行费：是指各部门的公用经费，包括办公及印刷费、邮电费、差旅费、会议费、福利费、日常维修费、专用材料及一般设备</w:t>
      </w:r>
      <w:r>
        <w:rPr>
          <w:rFonts w:ascii="Times New Roman" w:eastAsia="仿宋" w:hAnsi="Times New Roman" w:cs="Times New Roman" w:hint="eastAsia"/>
          <w:sz w:val="32"/>
          <w:szCs w:val="32"/>
        </w:rPr>
        <w:t>购置费、办公用房水电费、办公用房取暖费、办公用房物业管理费、公务用车运行维护费以及其他费用。</w:t>
      </w:r>
    </w:p>
    <w:p w:rsidR="00AB7507" w:rsidRDefault="00C91E0D">
      <w:pPr>
        <w:ind w:firstLineChars="200" w:firstLine="643"/>
        <w:rPr>
          <w:rFonts w:ascii="宋体-方正超大字符集" w:eastAsia="宋体-方正超大字符集" w:hAnsi="宋体-方正超大字符集" w:cs="宋体-方正超大字符集"/>
          <w:b/>
          <w:bCs/>
          <w:sz w:val="32"/>
          <w:szCs w:val="32"/>
        </w:rPr>
      </w:pPr>
      <w:r>
        <w:rPr>
          <w:rFonts w:ascii="宋体-方正超大字符集" w:eastAsia="宋体-方正超大字符集" w:hAnsi="宋体-方正超大字符集" w:cs="宋体-方正超大字符集" w:hint="eastAsia"/>
          <w:b/>
          <w:bCs/>
          <w:sz w:val="32"/>
          <w:szCs w:val="32"/>
        </w:rPr>
        <w:t>九、其他需要说明的事项</w:t>
      </w:r>
    </w:p>
    <w:p w:rsidR="00AB7507" w:rsidRDefault="00C91E0D">
      <w:pPr>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我部门无其他需要说明的事项。</w:t>
      </w:r>
    </w:p>
    <w:p w:rsidR="00AB7507" w:rsidRDefault="00AB7507">
      <w:pPr>
        <w:tabs>
          <w:tab w:val="left" w:pos="2630"/>
        </w:tabs>
        <w:jc w:val="left"/>
        <w:sectPr w:rsidR="00AB7507">
          <w:pgSz w:w="16839" w:h="11907" w:orient="landscape"/>
          <w:pgMar w:top="1361" w:right="1020" w:bottom="1361" w:left="1020" w:header="851" w:footer="992" w:gutter="0"/>
          <w:cols w:space="720"/>
          <w:docGrid w:type="lines" w:linePitch="312"/>
        </w:sectPr>
      </w:pPr>
    </w:p>
    <w:p w:rsidR="00AB7507" w:rsidRDefault="00AB7507">
      <w:pPr>
        <w:ind w:firstLineChars="200" w:firstLine="640"/>
        <w:rPr>
          <w:rFonts w:ascii="Times New Roman" w:eastAsia="仿宋" w:hAnsi="Times New Roman" w:cs="Times New Roman"/>
          <w:sz w:val="32"/>
          <w:szCs w:val="32"/>
        </w:rPr>
      </w:pPr>
    </w:p>
    <w:sectPr w:rsidR="00AB7507" w:rsidSect="00AB7507">
      <w:pgSz w:w="16838" w:h="11906" w:orient="landscape"/>
      <w:pgMar w:top="1800" w:right="1440" w:bottom="180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E0D" w:rsidRDefault="00C91E0D" w:rsidP="00AB7507">
      <w:r>
        <w:separator/>
      </w:r>
    </w:p>
  </w:endnote>
  <w:endnote w:type="continuationSeparator" w:id="1">
    <w:p w:rsidR="00C91E0D" w:rsidRDefault="00C91E0D" w:rsidP="00AB75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书宋_GBK">
    <w:altName w:val="微软雅黑"/>
    <w:charset w:val="86"/>
    <w:family w:val="script"/>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方正楷体_GBK">
    <w:altName w:val="宋体"/>
    <w:charset w:val="86"/>
    <w:family w:val="roman"/>
    <w:pitch w:val="default"/>
    <w:sig w:usb0="00000000" w:usb1="00000000" w:usb2="00000000" w:usb3="00000000" w:csb0="00040001" w:csb1="00000000"/>
  </w:font>
  <w:font w:name="宋体-方正超大字符集">
    <w:altName w:val="宋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E0D" w:rsidRDefault="00C91E0D" w:rsidP="00AB7507">
      <w:r>
        <w:separator/>
      </w:r>
    </w:p>
  </w:footnote>
  <w:footnote w:type="continuationSeparator" w:id="1">
    <w:p w:rsidR="00C91E0D" w:rsidRDefault="00C91E0D" w:rsidP="00AB7507">
      <w:r>
        <w:continuationSeparator/>
      </w:r>
    </w:p>
  </w:footnote>
  <w:footnote w:id="2">
    <w:p w:rsidR="00AB7507" w:rsidRDefault="00C91E0D">
      <w:pPr>
        <w:pStyle w:val="a5"/>
      </w:pPr>
      <w:r>
        <w:rPr>
          <w:rStyle w:val="a7"/>
        </w:rPr>
        <w:sym w:font="Symbol" w:char="F020"/>
      </w:r>
      <w:r>
        <w:rPr>
          <w:rFonts w:ascii="方正楷体_GBK" w:eastAsia="方正楷体_GBK" w:hint="eastAsia"/>
          <w:sz w:val="24"/>
        </w:rPr>
        <w:t>备注：表中的年度预算数为项目支出，部门工作活动虽未安排项目支出，但由基本支出保障，由于基本支出无法拆分到相应的工作活动，因此部分工作活动没有列示年度预算数。</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67CC4"/>
    <w:rsid w:val="0000235E"/>
    <w:rsid w:val="001F4EB4"/>
    <w:rsid w:val="00204526"/>
    <w:rsid w:val="00420375"/>
    <w:rsid w:val="005675A1"/>
    <w:rsid w:val="008268D6"/>
    <w:rsid w:val="0091231D"/>
    <w:rsid w:val="00AB7507"/>
    <w:rsid w:val="00B71956"/>
    <w:rsid w:val="00B77790"/>
    <w:rsid w:val="00C04DE9"/>
    <w:rsid w:val="00C67CC4"/>
    <w:rsid w:val="00C91E0D"/>
    <w:rsid w:val="00CF2269"/>
    <w:rsid w:val="00EC3709"/>
    <w:rsid w:val="083B7394"/>
    <w:rsid w:val="13385504"/>
    <w:rsid w:val="24A946D1"/>
    <w:rsid w:val="262F74F8"/>
    <w:rsid w:val="38F50522"/>
    <w:rsid w:val="47C87733"/>
    <w:rsid w:val="49196AF4"/>
    <w:rsid w:val="498D5FE1"/>
    <w:rsid w:val="59A44E71"/>
    <w:rsid w:val="5E3F2513"/>
    <w:rsid w:val="61494BF0"/>
    <w:rsid w:val="6E8201A2"/>
    <w:rsid w:val="77AF451A"/>
    <w:rsid w:val="78BB553E"/>
    <w:rsid w:val="7BAE5728"/>
    <w:rsid w:val="7C61077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uiPriority="0" w:unhideWhenUsed="0" w:qFormat="1"/>
    <w:lsdException w:name="footer" w:semiHidden="0" w:uiPriority="0" w:unhideWhenUsed="0"/>
    <w:lsdException w:name="caption" w:uiPriority="35" w:qFormat="1"/>
    <w:lsdException w:name="footnote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B7507"/>
    <w:pPr>
      <w:widowControl w:val="0"/>
      <w:jc w:val="both"/>
    </w:pPr>
    <w:rPr>
      <w:rFonts w:ascii="Calibri" w:hAnsi="Calibri" w:cs="黑体"/>
      <w:kern w:val="2"/>
      <w:sz w:val="21"/>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AB7507"/>
    <w:pPr>
      <w:tabs>
        <w:tab w:val="center" w:pos="4153"/>
        <w:tab w:val="right" w:pos="8306"/>
      </w:tabs>
      <w:snapToGrid w:val="0"/>
      <w:jc w:val="left"/>
    </w:pPr>
    <w:rPr>
      <w:rFonts w:ascii="Times New Roman" w:hAnsi="Times New Roman" w:cs="Times New Roman"/>
      <w:sz w:val="18"/>
      <w:szCs w:val="18"/>
    </w:rPr>
  </w:style>
  <w:style w:type="paragraph" w:styleId="a4">
    <w:name w:val="header"/>
    <w:basedOn w:val="a"/>
    <w:link w:val="Char0"/>
    <w:qFormat/>
    <w:rsid w:val="00AB7507"/>
    <w:pPr>
      <w:pBdr>
        <w:bottom w:val="single" w:sz="6" w:space="1" w:color="auto"/>
      </w:pBdr>
      <w:tabs>
        <w:tab w:val="center" w:pos="4153"/>
        <w:tab w:val="right" w:pos="8306"/>
      </w:tabs>
      <w:snapToGrid w:val="0"/>
      <w:jc w:val="center"/>
    </w:pPr>
    <w:rPr>
      <w:rFonts w:ascii="Times New Roman" w:hAnsi="Times New Roman" w:cs="Times New Roman"/>
      <w:sz w:val="18"/>
      <w:szCs w:val="18"/>
    </w:rPr>
  </w:style>
  <w:style w:type="paragraph" w:styleId="1">
    <w:name w:val="toc 1"/>
    <w:basedOn w:val="a"/>
    <w:next w:val="a"/>
    <w:qFormat/>
    <w:rsid w:val="00AB7507"/>
    <w:rPr>
      <w:rFonts w:ascii="Times New Roman" w:hAnsi="Times New Roman" w:cs="Times New Roman"/>
      <w:szCs w:val="24"/>
    </w:rPr>
  </w:style>
  <w:style w:type="paragraph" w:styleId="a5">
    <w:name w:val="footnote text"/>
    <w:basedOn w:val="a"/>
    <w:qFormat/>
    <w:rsid w:val="00AB7507"/>
    <w:pPr>
      <w:snapToGrid w:val="0"/>
      <w:jc w:val="left"/>
    </w:pPr>
    <w:rPr>
      <w:sz w:val="18"/>
      <w:szCs w:val="18"/>
    </w:rPr>
  </w:style>
  <w:style w:type="paragraph" w:styleId="2">
    <w:name w:val="toc 2"/>
    <w:basedOn w:val="a"/>
    <w:next w:val="a"/>
    <w:qFormat/>
    <w:rsid w:val="00AB7507"/>
    <w:pPr>
      <w:ind w:leftChars="200" w:left="420"/>
    </w:pPr>
    <w:rPr>
      <w:rFonts w:ascii="Times New Roman" w:hAnsi="Times New Roman" w:cs="Times New Roman"/>
      <w:szCs w:val="24"/>
    </w:rPr>
  </w:style>
  <w:style w:type="character" w:styleId="a6">
    <w:name w:val="page number"/>
    <w:basedOn w:val="a0"/>
    <w:qFormat/>
    <w:rsid w:val="00AB7507"/>
  </w:style>
  <w:style w:type="character" w:styleId="a7">
    <w:name w:val="footnote reference"/>
    <w:qFormat/>
    <w:rsid w:val="00AB7507"/>
    <w:rPr>
      <w:vertAlign w:val="superscript"/>
    </w:rPr>
  </w:style>
  <w:style w:type="paragraph" w:customStyle="1" w:styleId="Char1">
    <w:name w:val="Char"/>
    <w:basedOn w:val="a"/>
    <w:qFormat/>
    <w:rsid w:val="00AB7507"/>
    <w:rPr>
      <w:rFonts w:ascii="Times New Roman" w:hAnsi="Times New Roman" w:cs="Times New Roman"/>
      <w:szCs w:val="24"/>
    </w:rPr>
  </w:style>
  <w:style w:type="character" w:customStyle="1" w:styleId="Char">
    <w:name w:val="页脚 Char"/>
    <w:link w:val="a3"/>
    <w:semiHidden/>
    <w:qFormat/>
    <w:rsid w:val="00AB7507"/>
    <w:rPr>
      <w:rFonts w:ascii="Times New Roman" w:eastAsia="宋体" w:hAnsi="Times New Roman" w:cs="Times New Roman"/>
      <w:sz w:val="18"/>
      <w:szCs w:val="18"/>
    </w:rPr>
  </w:style>
  <w:style w:type="character" w:customStyle="1" w:styleId="Char0">
    <w:name w:val="页眉 Char"/>
    <w:link w:val="a4"/>
    <w:semiHidden/>
    <w:rsid w:val="00AB750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1063</Words>
  <Characters>6062</Characters>
  <Application>Microsoft Office Word</Application>
  <DocSecurity>0</DocSecurity>
  <Lines>50</Lines>
  <Paragraphs>14</Paragraphs>
  <ScaleCrop>false</ScaleCrop>
  <Company>Sky123.Org</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c:title>
  <dc:creator>guest</dc:creator>
  <cp:lastModifiedBy>微软用户</cp:lastModifiedBy>
  <cp:revision>2</cp:revision>
  <cp:lastPrinted>2017-02-10T09:57:00Z</cp:lastPrinted>
  <dcterms:created xsi:type="dcterms:W3CDTF">2019-03-04T09:00:00Z</dcterms:created>
  <dcterms:modified xsi:type="dcterms:W3CDTF">2019-03-04T09:00:00Z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